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0"/>
          <w:tab w:val="left" w:pos="735"/>
          <w:tab w:val="left" w:pos="3990"/>
        </w:tabs>
        <w:spacing w:before="156" w:beforeLines="50" w:after="156" w:afterLines="50"/>
        <w:jc w:val="center"/>
        <w:rPr>
          <w:rFonts w:ascii="华文中宋" w:hAnsi="华文中宋" w:eastAsia="华文中宋"/>
          <w:sz w:val="28"/>
          <w:szCs w:val="28"/>
        </w:rPr>
      </w:pPr>
      <w:r>
        <w:rPr>
          <w:rFonts w:hint="eastAsia" w:ascii="华文中宋" w:hAnsi="华文中宋" w:eastAsia="华文中宋"/>
          <w:sz w:val="28"/>
          <w:szCs w:val="28"/>
        </w:rPr>
        <w:t>清华大学工物系</w:t>
      </w:r>
      <w:r>
        <w:rPr>
          <w:rFonts w:hint="eastAsia" w:ascii="华文中宋" w:hAnsi="华文中宋" w:eastAsia="华文中宋"/>
          <w:sz w:val="28"/>
          <w:szCs w:val="28"/>
          <w:lang w:eastAsia="zh-CN"/>
        </w:rPr>
        <w:t>、</w:t>
      </w:r>
      <w:r>
        <w:rPr>
          <w:rFonts w:hint="eastAsia" w:ascii="华文中宋" w:hAnsi="华文中宋" w:eastAsia="华文中宋"/>
          <w:sz w:val="28"/>
          <w:szCs w:val="28"/>
        </w:rPr>
        <w:t>核研院与安全学院联合博士生论坛</w:t>
      </w:r>
    </w:p>
    <w:p>
      <w:pPr>
        <w:tabs>
          <w:tab w:val="left" w:pos="0"/>
          <w:tab w:val="left" w:pos="735"/>
          <w:tab w:val="left" w:pos="3990"/>
        </w:tabs>
        <w:spacing w:before="156" w:beforeLines="50" w:after="156" w:afterLines="50"/>
        <w:jc w:val="center"/>
        <w:rPr>
          <w:rFonts w:ascii="华文中宋" w:hAnsi="华文中宋" w:eastAsia="华文中宋"/>
          <w:sz w:val="28"/>
          <w:szCs w:val="28"/>
        </w:rPr>
      </w:pPr>
      <w:r>
        <w:rPr>
          <w:rFonts w:hint="eastAsia" w:ascii="华文中宋" w:hAnsi="华文中宋" w:eastAsia="华文中宋"/>
          <w:sz w:val="28"/>
          <w:szCs w:val="28"/>
        </w:rPr>
        <w:t>征稿研究概述规范</w:t>
      </w:r>
      <w:bookmarkStart w:id="2" w:name="_GoBack"/>
      <w:bookmarkEnd w:id="2"/>
    </w:p>
    <w:p>
      <w:pPr>
        <w:tabs>
          <w:tab w:val="left" w:pos="0"/>
          <w:tab w:val="left" w:pos="735"/>
          <w:tab w:val="left" w:pos="3990"/>
        </w:tabs>
        <w:spacing w:after="156" w:afterLines="50" w:line="360" w:lineRule="auto"/>
        <w:jc w:val="center"/>
        <w:rPr>
          <w:rFonts w:ascii="华文仿宋" w:hAnsi="华文仿宋" w:eastAsia="华文仿宋"/>
          <w:sz w:val="36"/>
          <w:szCs w:val="36"/>
        </w:rPr>
      </w:pPr>
      <w:r>
        <w:rPr>
          <w:rFonts w:hint="eastAsia" w:ascii="华文仿宋" w:hAnsi="华文仿宋" w:eastAsia="华文仿宋"/>
          <w:sz w:val="36"/>
          <w:szCs w:val="36"/>
        </w:rPr>
        <w:t>（20</w:t>
      </w:r>
      <w:r>
        <w:rPr>
          <w:rFonts w:ascii="华文仿宋" w:hAnsi="华文仿宋" w:eastAsia="华文仿宋"/>
          <w:sz w:val="36"/>
          <w:szCs w:val="36"/>
        </w:rPr>
        <w:t>2</w:t>
      </w:r>
      <w:r>
        <w:rPr>
          <w:rFonts w:hint="eastAsia" w:ascii="华文仿宋" w:hAnsi="华文仿宋" w:eastAsia="华文仿宋"/>
          <w:sz w:val="36"/>
          <w:szCs w:val="36"/>
          <w:lang w:val="en-US" w:eastAsia="zh-CN"/>
        </w:rPr>
        <w:t>5</w:t>
      </w:r>
      <w:r>
        <w:rPr>
          <w:rFonts w:hint="eastAsia" w:ascii="华文仿宋" w:hAnsi="华文仿宋" w:eastAsia="华文仿宋"/>
          <w:sz w:val="36"/>
          <w:szCs w:val="36"/>
        </w:rPr>
        <w:t>年版）</w:t>
      </w:r>
    </w:p>
    <w:p>
      <w:pPr>
        <w:tabs>
          <w:tab w:val="left" w:pos="0"/>
        </w:tabs>
        <w:spacing w:line="360" w:lineRule="exact"/>
        <w:ind w:firstLine="420" w:firstLineChars="200"/>
        <w:rPr>
          <w:rFonts w:ascii="等线" w:hAnsi="等线" w:eastAsia="等线" w:cs="等线"/>
          <w:szCs w:val="21"/>
        </w:rPr>
      </w:pPr>
      <w:r>
        <w:rPr>
          <w:rFonts w:hint="eastAsia" w:ascii="等线" w:hAnsi="等线" w:eastAsia="等线" w:cs="等线"/>
          <w:szCs w:val="21"/>
        </w:rPr>
        <w:t>本次论坛不设全文投稿，但为了后续审稿，本次论坛需要提供研究概述，文稿的格式要求如下：</w:t>
      </w:r>
    </w:p>
    <w:p>
      <w:pPr>
        <w:tabs>
          <w:tab w:val="left" w:pos="0"/>
        </w:tabs>
        <w:spacing w:line="360" w:lineRule="exact"/>
        <w:ind w:firstLine="420" w:firstLineChars="200"/>
        <w:rPr>
          <w:rFonts w:ascii="等线" w:hAnsi="等线" w:eastAsia="等线" w:cs="等线"/>
          <w:b/>
          <w:color w:val="FF0000"/>
          <w:szCs w:val="21"/>
        </w:rPr>
      </w:pPr>
      <w:r>
        <w:rPr>
          <w:rFonts w:hint="eastAsia" w:ascii="等线" w:hAnsi="等线" w:eastAsia="等线" w:cs="等线"/>
          <w:b/>
          <w:color w:val="FF0000"/>
          <w:szCs w:val="21"/>
        </w:rPr>
        <w:t>中英文任选一种即可。请注意与摘要区分开。</w:t>
      </w:r>
    </w:p>
    <w:p>
      <w:pPr>
        <w:tabs>
          <w:tab w:val="left" w:pos="0"/>
        </w:tabs>
        <w:spacing w:line="360" w:lineRule="exact"/>
        <w:ind w:firstLine="420" w:firstLineChars="200"/>
        <w:rPr>
          <w:rFonts w:ascii="等线" w:hAnsi="等线" w:eastAsia="等线" w:cs="等线"/>
          <w:b/>
          <w:color w:val="FF0000"/>
          <w:szCs w:val="21"/>
        </w:rPr>
      </w:pPr>
      <w:r>
        <w:rPr>
          <w:rFonts w:hint="eastAsia" w:ascii="等线" w:hAnsi="等线" w:eastAsia="等线" w:cs="等线"/>
          <w:b/>
          <w:color w:val="FF0000"/>
          <w:szCs w:val="21"/>
        </w:rPr>
        <w:t>请注意提交格式为PDF格式！</w:t>
      </w:r>
    </w:p>
    <w:p>
      <w:pPr>
        <w:tabs>
          <w:tab w:val="left" w:pos="0"/>
        </w:tabs>
        <w:spacing w:line="360" w:lineRule="exact"/>
        <w:ind w:firstLine="420" w:firstLineChars="200"/>
        <w:rPr>
          <w:rFonts w:ascii="等线" w:hAnsi="等线" w:eastAsia="等线" w:cs="等线"/>
          <w:b/>
          <w:color w:val="FF0000"/>
          <w:szCs w:val="21"/>
        </w:rPr>
      </w:pPr>
      <w:r>
        <w:rPr>
          <w:rFonts w:hint="eastAsia" w:ascii="等线" w:hAnsi="等线" w:eastAsia="等线" w:cs="等线"/>
          <w:b/>
          <w:color w:val="FF0000"/>
          <w:szCs w:val="21"/>
        </w:rPr>
        <w:t>文件命名示例为：分论坛A_口头报告_清华大学_张三_2021312077.pdf，分论坛C_海报展示_清华大学_张三_2021312077.pdf</w:t>
      </w:r>
    </w:p>
    <w:p>
      <w:pPr>
        <w:tabs>
          <w:tab w:val="left" w:pos="0"/>
        </w:tabs>
        <w:spacing w:line="360" w:lineRule="exact"/>
        <w:rPr>
          <w:rFonts w:ascii="等线" w:hAnsi="等线" w:eastAsia="等线" w:cs="等线"/>
          <w:b/>
          <w:color w:val="FF0000"/>
          <w:szCs w:val="21"/>
        </w:rPr>
      </w:pPr>
    </w:p>
    <w:p>
      <w:pPr>
        <w:tabs>
          <w:tab w:val="left" w:pos="0"/>
          <w:tab w:val="left" w:pos="735"/>
        </w:tabs>
        <w:spacing w:before="156" w:beforeLines="50" w:line="360" w:lineRule="exact"/>
        <w:rPr>
          <w:rFonts w:ascii="等线" w:hAnsi="等线" w:eastAsia="等线" w:cs="等线"/>
          <w:szCs w:val="21"/>
        </w:rPr>
      </w:pPr>
      <w:r>
        <w:rPr>
          <w:rFonts w:hint="eastAsia" w:ascii="等线" w:hAnsi="等线" w:eastAsia="等线" w:cs="等线"/>
          <w:szCs w:val="21"/>
        </w:rPr>
        <w:t>1. 中文：</w:t>
      </w:r>
    </w:p>
    <w:p>
      <w:pPr>
        <w:tabs>
          <w:tab w:val="left" w:pos="420"/>
          <w:tab w:val="left" w:pos="735"/>
        </w:tabs>
        <w:spacing w:line="360" w:lineRule="exact"/>
        <w:ind w:firstLine="420" w:firstLineChars="200"/>
        <w:rPr>
          <w:rFonts w:ascii="等线" w:hAnsi="等线" w:eastAsia="等线" w:cs="等线"/>
          <w:b/>
          <w:bCs/>
          <w:szCs w:val="21"/>
        </w:rPr>
      </w:pPr>
      <w:r>
        <w:rPr>
          <w:rFonts w:hint="eastAsia" w:ascii="等线" w:hAnsi="等线" w:eastAsia="等线" w:cs="等线"/>
          <w:szCs w:val="21"/>
        </w:rPr>
        <w:t>整体内容包括</w:t>
      </w:r>
      <w:r>
        <w:rPr>
          <w:rFonts w:hint="eastAsia" w:ascii="等线" w:hAnsi="等线" w:eastAsia="等线" w:cs="等线"/>
          <w:b/>
          <w:bCs/>
          <w:szCs w:val="21"/>
        </w:rPr>
        <w:t>：文题、作者姓名、作者邮箱、作者机构、研究概述、关键词</w:t>
      </w:r>
    </w:p>
    <w:p>
      <w:pPr>
        <w:tabs>
          <w:tab w:val="left" w:pos="420"/>
          <w:tab w:val="left" w:pos="735"/>
        </w:tabs>
        <w:spacing w:line="360" w:lineRule="exact"/>
        <w:ind w:firstLine="420" w:firstLineChars="200"/>
        <w:rPr>
          <w:rFonts w:ascii="等线" w:hAnsi="等线" w:eastAsia="等线" w:cs="等线"/>
          <w:szCs w:val="21"/>
        </w:rPr>
      </w:pPr>
      <w:r>
        <w:rPr>
          <w:rFonts w:hint="eastAsia" w:ascii="等线" w:hAnsi="等线" w:eastAsia="等线" w:cs="等线"/>
          <w:b/>
          <w:bCs/>
          <w:szCs w:val="21"/>
        </w:rPr>
        <w:t>文题</w:t>
      </w:r>
      <w:r>
        <w:rPr>
          <w:rFonts w:hint="eastAsia" w:ascii="等线" w:hAnsi="等线" w:eastAsia="等线" w:cs="等线"/>
          <w:szCs w:val="21"/>
        </w:rPr>
        <w:t>一般不超过20字。</w:t>
      </w:r>
    </w:p>
    <w:p>
      <w:pPr>
        <w:tabs>
          <w:tab w:val="left" w:pos="0"/>
          <w:tab w:val="left" w:pos="735"/>
        </w:tabs>
        <w:spacing w:line="360" w:lineRule="exact"/>
        <w:ind w:firstLine="420" w:firstLineChars="200"/>
        <w:rPr>
          <w:rFonts w:ascii="等线" w:hAnsi="等线" w:eastAsia="等线" w:cs="等线"/>
          <w:szCs w:val="21"/>
        </w:rPr>
      </w:pPr>
      <w:r>
        <w:rPr>
          <w:rFonts w:hint="eastAsia" w:ascii="等线" w:hAnsi="等线" w:eastAsia="等线" w:cs="等线"/>
          <w:b/>
          <w:bCs/>
          <w:szCs w:val="21"/>
        </w:rPr>
        <w:t>作者姓名</w:t>
      </w:r>
      <w:r>
        <w:rPr>
          <w:rFonts w:hint="eastAsia" w:ascii="等线" w:hAnsi="等线" w:eastAsia="等线" w:cs="等线"/>
          <w:szCs w:val="21"/>
        </w:rPr>
        <w:t>按署名顺序排列。各作者之间以“，”分隔。</w:t>
      </w:r>
    </w:p>
    <w:p>
      <w:pPr>
        <w:tabs>
          <w:tab w:val="left" w:pos="0"/>
          <w:tab w:val="left" w:pos="735"/>
        </w:tabs>
        <w:spacing w:line="360" w:lineRule="exact"/>
        <w:ind w:firstLine="420" w:firstLineChars="200"/>
        <w:rPr>
          <w:rFonts w:ascii="等线" w:hAnsi="等线" w:eastAsia="等线" w:cs="等线"/>
          <w:szCs w:val="21"/>
        </w:rPr>
      </w:pPr>
      <w:r>
        <w:rPr>
          <w:rFonts w:hint="eastAsia" w:ascii="等线" w:hAnsi="等线" w:eastAsia="等线" w:cs="等线"/>
          <w:b/>
          <w:bCs/>
          <w:szCs w:val="21"/>
        </w:rPr>
        <w:t>作者邮箱</w:t>
      </w:r>
      <w:r>
        <w:rPr>
          <w:rFonts w:hint="eastAsia" w:ascii="等线" w:hAnsi="等线" w:eastAsia="等线" w:cs="等线"/>
          <w:szCs w:val="21"/>
        </w:rPr>
        <w:t>应为作者本人常用邮箱。</w:t>
      </w:r>
    </w:p>
    <w:p>
      <w:pPr>
        <w:tabs>
          <w:tab w:val="left" w:pos="0"/>
          <w:tab w:val="left" w:pos="735"/>
        </w:tabs>
        <w:spacing w:line="360" w:lineRule="exact"/>
        <w:ind w:firstLine="420" w:firstLineChars="200"/>
        <w:rPr>
          <w:rFonts w:ascii="等线" w:hAnsi="等线" w:eastAsia="等线" w:cs="等线"/>
          <w:szCs w:val="21"/>
        </w:rPr>
      </w:pPr>
      <w:r>
        <w:rPr>
          <w:rFonts w:hint="eastAsia" w:ascii="等线" w:hAnsi="等线" w:eastAsia="等线" w:cs="等线"/>
          <w:b/>
          <w:bCs/>
          <w:szCs w:val="21"/>
        </w:rPr>
        <w:t>作者机构</w:t>
      </w:r>
      <w:r>
        <w:rPr>
          <w:rFonts w:hint="eastAsia" w:ascii="等线" w:hAnsi="等线" w:eastAsia="等线" w:cs="等线"/>
          <w:szCs w:val="21"/>
        </w:rPr>
        <w:t>应写正式全称，不用简称，后加城市名、邮政编码及国名。多个机构的情况下，机构名称之前加编号，同时作者姓名右上角加相应编号。不同机构之间以“；”分隔。</w:t>
      </w:r>
    </w:p>
    <w:p>
      <w:pPr>
        <w:tabs>
          <w:tab w:val="left" w:pos="0"/>
          <w:tab w:val="left" w:pos="735"/>
        </w:tabs>
        <w:spacing w:line="360" w:lineRule="exact"/>
        <w:ind w:firstLine="420" w:firstLineChars="200"/>
        <w:rPr>
          <w:rFonts w:ascii="等线" w:hAnsi="等线" w:eastAsia="等线" w:cs="等线"/>
          <w:szCs w:val="21"/>
        </w:rPr>
      </w:pPr>
      <w:r>
        <w:rPr>
          <w:rFonts w:hint="eastAsia" w:ascii="等线" w:hAnsi="等线" w:eastAsia="等线" w:cs="等线"/>
          <w:b/>
          <w:bCs/>
          <w:szCs w:val="21"/>
        </w:rPr>
        <w:t>研究概述</w:t>
      </w:r>
      <w:r>
        <w:rPr>
          <w:rFonts w:hint="eastAsia" w:ascii="等线" w:hAnsi="等线" w:eastAsia="等线" w:cs="等线"/>
          <w:szCs w:val="21"/>
        </w:rPr>
        <w:t>正文</w:t>
      </w:r>
      <w:r>
        <w:rPr>
          <w:rFonts w:hint="eastAsia" w:ascii="等线" w:hAnsi="等线" w:eastAsia="等线" w:cs="等线"/>
          <w:b/>
          <w:szCs w:val="21"/>
        </w:rPr>
        <w:t>不少于1000字</w:t>
      </w:r>
      <w:r>
        <w:rPr>
          <w:rFonts w:hint="eastAsia" w:ascii="等线" w:hAnsi="等线" w:eastAsia="等线" w:cs="等线"/>
          <w:szCs w:val="21"/>
        </w:rPr>
        <w:t>。其中的缩略语应说明后再使用。</w:t>
      </w:r>
      <w:r>
        <w:rPr>
          <w:rFonts w:hint="eastAsia" w:ascii="等线" w:hAnsi="等线" w:eastAsia="等线" w:cs="等线"/>
          <w:b/>
          <w:color w:val="FF0000"/>
          <w:szCs w:val="21"/>
        </w:rPr>
        <w:t>中文概述应包括4个层次：研究目的、研究方法、研究结果和研究结论。</w:t>
      </w:r>
      <w:r>
        <w:rPr>
          <w:rFonts w:hint="eastAsia" w:ascii="等线" w:hAnsi="等线" w:eastAsia="等线" w:cs="等线"/>
          <w:szCs w:val="21"/>
        </w:rPr>
        <w:t>中文概述独立成篇，意义完整，信息具体。所投稿件要求观点明确，论据可靠，层次分明，论述精练，语言准确，符合规范。</w:t>
      </w:r>
    </w:p>
    <w:p>
      <w:pPr>
        <w:tabs>
          <w:tab w:val="left" w:pos="0"/>
          <w:tab w:val="left" w:pos="735"/>
        </w:tabs>
        <w:spacing w:line="360" w:lineRule="exact"/>
        <w:ind w:firstLine="420" w:firstLineChars="200"/>
        <w:rPr>
          <w:rFonts w:ascii="等线" w:hAnsi="等线" w:eastAsia="等线" w:cs="等线"/>
          <w:szCs w:val="21"/>
        </w:rPr>
      </w:pPr>
      <w:r>
        <w:rPr>
          <w:rFonts w:hint="eastAsia" w:ascii="等线" w:hAnsi="等线" w:eastAsia="等线" w:cs="等线"/>
          <w:b/>
          <w:bCs/>
          <w:szCs w:val="21"/>
        </w:rPr>
        <w:t>关键词</w:t>
      </w:r>
      <w:bookmarkStart w:id="0" w:name="OLE_LINK1"/>
      <w:r>
        <w:rPr>
          <w:rFonts w:hint="eastAsia" w:ascii="等线" w:hAnsi="等线" w:eastAsia="等线" w:cs="等线"/>
          <w:szCs w:val="21"/>
        </w:rPr>
        <w:t>应有3~8个关键词，</w:t>
      </w:r>
      <w:bookmarkEnd w:id="0"/>
      <w:r>
        <w:rPr>
          <w:rFonts w:hint="eastAsia" w:ascii="等线" w:hAnsi="等线" w:eastAsia="等线" w:cs="等线"/>
          <w:szCs w:val="21"/>
        </w:rPr>
        <w:t>不同关键词之间用“；”分隔。缩略语应先写中文全称。</w:t>
      </w:r>
    </w:p>
    <w:p>
      <w:pPr>
        <w:tabs>
          <w:tab w:val="left" w:pos="0"/>
          <w:tab w:val="left" w:pos="735"/>
        </w:tabs>
        <w:spacing w:line="360" w:lineRule="exact"/>
        <w:ind w:firstLine="420" w:firstLineChars="200"/>
        <w:rPr>
          <w:rFonts w:ascii="等线" w:hAnsi="等线" w:eastAsia="等线" w:cs="等线"/>
          <w:szCs w:val="21"/>
        </w:rPr>
      </w:pPr>
      <w:r>
        <w:rPr>
          <w:rFonts w:hint="eastAsia" w:ascii="等线" w:hAnsi="等线" w:eastAsia="等线" w:cs="等线"/>
          <w:b/>
          <w:bCs/>
          <w:szCs w:val="21"/>
        </w:rPr>
        <w:t>参考文献</w:t>
      </w:r>
      <w:r>
        <w:rPr>
          <w:rFonts w:hint="eastAsia" w:ascii="等线" w:hAnsi="等线" w:eastAsia="等线" w:cs="等线"/>
          <w:szCs w:val="21"/>
        </w:rPr>
        <w:t>请使用</w:t>
      </w:r>
      <w:r>
        <w:rPr>
          <w:rFonts w:hint="eastAsia" w:ascii="等线" w:hAnsi="等线" w:eastAsia="等线" w:cs="等线"/>
          <w:b/>
          <w:bCs/>
          <w:color w:val="FF0000"/>
          <w:szCs w:val="21"/>
        </w:rPr>
        <w:t>APA格式</w:t>
      </w:r>
      <w:r>
        <w:rPr>
          <w:rFonts w:hint="eastAsia" w:ascii="等线" w:hAnsi="等线" w:eastAsia="等线" w:cs="等线"/>
          <w:szCs w:val="21"/>
        </w:rPr>
        <w:t>生成，按照概述中出现顺序编号。</w:t>
      </w:r>
    </w:p>
    <w:p>
      <w:pPr>
        <w:tabs>
          <w:tab w:val="left" w:pos="0"/>
          <w:tab w:val="left" w:pos="735"/>
        </w:tabs>
        <w:spacing w:line="288" w:lineRule="auto"/>
        <w:ind w:firstLine="420" w:firstLineChars="200"/>
        <w:rPr>
          <w:rFonts w:ascii="等线" w:hAnsi="等线" w:eastAsia="等线" w:cs="等线"/>
          <w:b/>
          <w:bCs/>
          <w:color w:val="FF0000"/>
          <w:szCs w:val="21"/>
        </w:rPr>
      </w:pPr>
      <w:r>
        <w:rPr>
          <w:rFonts w:hint="eastAsia" w:ascii="等线" w:hAnsi="等线" w:eastAsia="等线" w:cs="等线"/>
          <w:b/>
          <w:bCs/>
          <w:szCs w:val="21"/>
        </w:rPr>
        <w:t>字体要求</w:t>
      </w:r>
      <w:r>
        <w:rPr>
          <w:rFonts w:hint="eastAsia" w:ascii="等线" w:hAnsi="等线" w:eastAsia="等线" w:cs="等线"/>
          <w:szCs w:val="21"/>
        </w:rPr>
        <w:t>：</w:t>
      </w:r>
      <w:r>
        <w:rPr>
          <w:rFonts w:hint="eastAsia" w:ascii="等线" w:hAnsi="等线" w:eastAsia="等线" w:cs="等线"/>
          <w:b/>
          <w:bCs/>
          <w:color w:val="FF0000"/>
          <w:szCs w:val="21"/>
        </w:rPr>
        <w:t>文题用3号黑体、加粗；姓名、邮箱、机构、概述、关键词等均用小四号宋体。</w:t>
      </w:r>
    </w:p>
    <w:p>
      <w:pPr>
        <w:tabs>
          <w:tab w:val="left" w:pos="0"/>
          <w:tab w:val="left" w:pos="735"/>
        </w:tabs>
        <w:spacing w:line="360" w:lineRule="exact"/>
        <w:rPr>
          <w:rFonts w:ascii="等线" w:hAnsi="等线" w:eastAsia="等线" w:cs="等线"/>
          <w:szCs w:val="21"/>
        </w:rPr>
      </w:pPr>
    </w:p>
    <w:p>
      <w:pPr>
        <w:tabs>
          <w:tab w:val="left" w:pos="0"/>
          <w:tab w:val="left" w:pos="735"/>
        </w:tabs>
        <w:spacing w:before="156" w:beforeLines="50" w:line="360" w:lineRule="exact"/>
        <w:rPr>
          <w:rFonts w:ascii="等线" w:hAnsi="等线" w:eastAsia="等线" w:cs="等线"/>
          <w:szCs w:val="21"/>
        </w:rPr>
      </w:pPr>
      <w:r>
        <w:rPr>
          <w:rFonts w:hint="eastAsia" w:ascii="等线" w:hAnsi="等线" w:eastAsia="等线" w:cs="等线"/>
          <w:szCs w:val="21"/>
        </w:rPr>
        <w:t>2.英文</w:t>
      </w:r>
    </w:p>
    <w:p>
      <w:pPr>
        <w:tabs>
          <w:tab w:val="left" w:pos="420"/>
          <w:tab w:val="left" w:pos="735"/>
        </w:tabs>
        <w:spacing w:line="360" w:lineRule="exact"/>
        <w:ind w:firstLine="420" w:firstLineChars="200"/>
        <w:rPr>
          <w:rFonts w:ascii="等线" w:hAnsi="等线" w:eastAsia="等线" w:cs="等线"/>
          <w:szCs w:val="21"/>
        </w:rPr>
      </w:pPr>
      <w:r>
        <w:rPr>
          <w:rFonts w:hint="eastAsia" w:ascii="等线" w:hAnsi="等线" w:eastAsia="等线" w:cs="等线"/>
          <w:szCs w:val="21"/>
        </w:rPr>
        <w:t>整体内容包括</w:t>
      </w:r>
      <w:r>
        <w:rPr>
          <w:rFonts w:hint="eastAsia" w:ascii="等线" w:hAnsi="等线" w:eastAsia="等线" w:cs="等线"/>
          <w:b/>
          <w:bCs/>
          <w:szCs w:val="21"/>
        </w:rPr>
        <w:t>：文题、作者姓名、作者邮箱、作者机构、研究概述、关键词</w:t>
      </w:r>
    </w:p>
    <w:p>
      <w:pPr>
        <w:tabs>
          <w:tab w:val="left" w:pos="0"/>
          <w:tab w:val="left" w:pos="735"/>
        </w:tabs>
        <w:spacing w:line="360" w:lineRule="exact"/>
        <w:ind w:firstLine="420" w:firstLineChars="200"/>
        <w:rPr>
          <w:rFonts w:ascii="等线" w:hAnsi="等线" w:eastAsia="等线" w:cs="等线"/>
          <w:szCs w:val="21"/>
        </w:rPr>
      </w:pPr>
      <w:r>
        <w:rPr>
          <w:rFonts w:hint="eastAsia" w:ascii="等线" w:hAnsi="等线" w:eastAsia="等线" w:cs="等线"/>
          <w:b/>
          <w:bCs/>
          <w:szCs w:val="21"/>
        </w:rPr>
        <w:t>文题</w:t>
      </w:r>
      <w:r>
        <w:rPr>
          <w:rFonts w:hint="eastAsia" w:ascii="等线" w:hAnsi="等线" w:eastAsia="等线" w:cs="等线"/>
          <w:szCs w:val="21"/>
        </w:rPr>
        <w:t xml:space="preserve">长度一般不超过100个字符。第一个词不用冠词。除第一字母及专有名词应大写以外，一律小写。 </w:t>
      </w:r>
    </w:p>
    <w:p>
      <w:pPr>
        <w:tabs>
          <w:tab w:val="left" w:pos="0"/>
          <w:tab w:val="left" w:pos="735"/>
        </w:tabs>
        <w:spacing w:line="360" w:lineRule="exact"/>
        <w:ind w:firstLine="420" w:firstLineChars="200"/>
        <w:rPr>
          <w:rFonts w:ascii="等线" w:hAnsi="等线" w:eastAsia="等线" w:cs="等线"/>
          <w:szCs w:val="21"/>
        </w:rPr>
      </w:pPr>
      <w:r>
        <w:rPr>
          <w:rFonts w:hint="eastAsia" w:ascii="等线" w:hAnsi="等线" w:eastAsia="等线" w:cs="等线"/>
          <w:b/>
          <w:bCs/>
          <w:szCs w:val="21"/>
        </w:rPr>
        <w:t>作者姓名</w:t>
      </w:r>
      <w:r>
        <w:rPr>
          <w:rFonts w:hint="eastAsia" w:ascii="等线" w:hAnsi="等线" w:eastAsia="等线" w:cs="等线"/>
          <w:szCs w:val="21"/>
        </w:rPr>
        <w:t>应按汉语拼音</w:t>
      </w:r>
      <w:r>
        <w:rPr>
          <w:rFonts w:hint="eastAsia" w:ascii="等线" w:hAnsi="等线" w:eastAsia="等线" w:cs="等线"/>
          <w:b/>
          <w:bCs/>
          <w:color w:val="FF0000"/>
          <w:szCs w:val="21"/>
        </w:rPr>
        <w:t>名姓</w:t>
      </w:r>
      <w:r>
        <w:rPr>
          <w:rFonts w:hint="eastAsia" w:ascii="等线" w:hAnsi="等线" w:eastAsia="等线" w:cs="等线"/>
          <w:szCs w:val="21"/>
        </w:rPr>
        <w:t>顺序：例如：</w:t>
      </w:r>
      <w:r>
        <w:rPr>
          <w:rFonts w:hint="eastAsia" w:ascii="等线" w:hAnsi="等线" w:eastAsia="等线" w:cs="等线"/>
          <w:b/>
          <w:bCs/>
          <w:color w:val="FF0000"/>
          <w:szCs w:val="21"/>
        </w:rPr>
        <w:t>Yuanzhang Zhu</w:t>
      </w:r>
      <w:r>
        <w:rPr>
          <w:rFonts w:hint="eastAsia" w:ascii="等线" w:hAnsi="等线" w:eastAsia="等线" w:cs="等线"/>
          <w:szCs w:val="21"/>
        </w:rPr>
        <w:t>。</w:t>
      </w:r>
    </w:p>
    <w:p>
      <w:pPr>
        <w:tabs>
          <w:tab w:val="left" w:pos="0"/>
          <w:tab w:val="left" w:pos="735"/>
        </w:tabs>
        <w:spacing w:line="360" w:lineRule="exact"/>
        <w:ind w:firstLine="420" w:firstLineChars="200"/>
        <w:rPr>
          <w:rFonts w:ascii="等线" w:hAnsi="等线" w:eastAsia="等线" w:cs="等线"/>
          <w:szCs w:val="21"/>
        </w:rPr>
      </w:pPr>
      <w:r>
        <w:rPr>
          <w:rFonts w:hint="eastAsia" w:ascii="等线" w:hAnsi="等线" w:eastAsia="等线" w:cs="等线"/>
          <w:b/>
          <w:bCs/>
          <w:szCs w:val="21"/>
        </w:rPr>
        <w:t>作者邮箱</w:t>
      </w:r>
      <w:r>
        <w:rPr>
          <w:rFonts w:hint="eastAsia" w:ascii="等线" w:hAnsi="等线" w:eastAsia="等线" w:cs="等线"/>
          <w:szCs w:val="21"/>
        </w:rPr>
        <w:t>应为作者本人常用邮箱。</w:t>
      </w:r>
    </w:p>
    <w:p>
      <w:pPr>
        <w:tabs>
          <w:tab w:val="left" w:pos="0"/>
          <w:tab w:val="left" w:pos="735"/>
        </w:tabs>
        <w:spacing w:line="360" w:lineRule="exact"/>
        <w:ind w:firstLine="420" w:firstLineChars="200"/>
        <w:rPr>
          <w:rFonts w:ascii="等线" w:hAnsi="等线" w:eastAsia="等线" w:cs="等线"/>
          <w:szCs w:val="21"/>
        </w:rPr>
      </w:pPr>
      <w:r>
        <w:rPr>
          <w:rFonts w:hint="eastAsia" w:ascii="等线" w:hAnsi="等线" w:eastAsia="等线" w:cs="等线"/>
          <w:b/>
          <w:bCs/>
          <w:szCs w:val="21"/>
        </w:rPr>
        <w:t>作者机构</w:t>
      </w:r>
      <w:r>
        <w:rPr>
          <w:rFonts w:hint="eastAsia" w:ascii="等线" w:hAnsi="等线" w:eastAsia="等线" w:cs="等线"/>
          <w:szCs w:val="21"/>
        </w:rPr>
        <w:t>的英文应写</w:t>
      </w:r>
      <w:r>
        <w:rPr>
          <w:rFonts w:hint="eastAsia" w:ascii="等线" w:hAnsi="等线" w:eastAsia="等线" w:cs="等线"/>
          <w:b/>
          <w:bCs/>
          <w:color w:val="FF0000"/>
          <w:szCs w:val="21"/>
        </w:rPr>
        <w:t>正式全称</w:t>
      </w:r>
      <w:r>
        <w:rPr>
          <w:rFonts w:hint="eastAsia" w:ascii="等线" w:hAnsi="等线" w:eastAsia="等线" w:cs="等线"/>
          <w:szCs w:val="21"/>
        </w:rPr>
        <w:t>，不用缩写。</w:t>
      </w:r>
    </w:p>
    <w:p>
      <w:pPr>
        <w:tabs>
          <w:tab w:val="left" w:pos="0"/>
          <w:tab w:val="left" w:pos="735"/>
        </w:tabs>
        <w:spacing w:line="360" w:lineRule="exact"/>
        <w:ind w:firstLine="420" w:firstLineChars="200"/>
        <w:rPr>
          <w:rFonts w:ascii="等线" w:hAnsi="等线" w:eastAsia="等线" w:cs="等线"/>
          <w:szCs w:val="21"/>
        </w:rPr>
      </w:pPr>
      <w:r>
        <w:rPr>
          <w:rFonts w:hint="eastAsia" w:ascii="等线" w:hAnsi="等线" w:eastAsia="等线" w:cs="等线"/>
          <w:b/>
          <w:bCs/>
          <w:szCs w:val="21"/>
        </w:rPr>
        <w:t>研究概述</w:t>
      </w:r>
      <w:r>
        <w:rPr>
          <w:rFonts w:hint="eastAsia" w:ascii="等线" w:hAnsi="等线" w:eastAsia="等线" w:cs="等线"/>
          <w:szCs w:val="21"/>
        </w:rPr>
        <w:t>正文不少于1000个英文单词，缩略语应加以说明。</w:t>
      </w:r>
      <w:r>
        <w:rPr>
          <w:rFonts w:hint="eastAsia" w:ascii="等线" w:hAnsi="等线" w:eastAsia="等线" w:cs="等线"/>
          <w:b/>
          <w:color w:val="FF0000"/>
          <w:szCs w:val="21"/>
        </w:rPr>
        <w:t>概述应包括4个层次：研究目的、研究方法、研究结果和研究结论。</w:t>
      </w:r>
      <w:r>
        <w:rPr>
          <w:rFonts w:hint="eastAsia" w:ascii="等线" w:hAnsi="等线" w:eastAsia="等线" w:cs="等线"/>
          <w:szCs w:val="21"/>
        </w:rPr>
        <w:t>英文概述独立成篇，不分段，意义完整，信息具体。所投稿件要求观点明确，论据可靠，层次分明，论述精练，语言准确，符合规范。</w:t>
      </w:r>
    </w:p>
    <w:p>
      <w:pPr>
        <w:tabs>
          <w:tab w:val="left" w:pos="0"/>
          <w:tab w:val="left" w:pos="735"/>
        </w:tabs>
        <w:spacing w:line="360" w:lineRule="exact"/>
        <w:ind w:firstLine="420" w:firstLineChars="200"/>
        <w:rPr>
          <w:rFonts w:ascii="等线" w:hAnsi="等线" w:eastAsia="等线" w:cs="等线"/>
          <w:szCs w:val="21"/>
        </w:rPr>
      </w:pPr>
      <w:r>
        <w:rPr>
          <w:rFonts w:hint="eastAsia" w:ascii="等线" w:hAnsi="等线" w:eastAsia="等线" w:cs="等线"/>
          <w:b/>
          <w:bCs/>
          <w:szCs w:val="21"/>
        </w:rPr>
        <w:t>关键词</w:t>
      </w:r>
      <w:r>
        <w:rPr>
          <w:rFonts w:hint="eastAsia" w:ascii="等线" w:hAnsi="等线" w:eastAsia="等线" w:cs="等线"/>
          <w:szCs w:val="21"/>
        </w:rPr>
        <w:t>应有3~8个关键词，缩略语应先写全称再写简称。除专有名词大写以外，一律小写。</w:t>
      </w:r>
    </w:p>
    <w:p>
      <w:pPr>
        <w:tabs>
          <w:tab w:val="left" w:pos="0"/>
          <w:tab w:val="left" w:pos="735"/>
        </w:tabs>
        <w:spacing w:line="360" w:lineRule="exact"/>
        <w:ind w:firstLine="420" w:firstLineChars="200"/>
        <w:rPr>
          <w:rFonts w:ascii="等线" w:hAnsi="等线" w:eastAsia="等线" w:cs="等线"/>
          <w:szCs w:val="21"/>
        </w:rPr>
      </w:pPr>
      <w:r>
        <w:rPr>
          <w:rFonts w:hint="eastAsia" w:ascii="等线" w:hAnsi="等线" w:eastAsia="等线" w:cs="等线"/>
          <w:b/>
          <w:bCs/>
          <w:szCs w:val="21"/>
        </w:rPr>
        <w:t>参考文献</w:t>
      </w:r>
      <w:r>
        <w:rPr>
          <w:rFonts w:hint="eastAsia" w:ascii="等线" w:hAnsi="等线" w:eastAsia="等线" w:cs="等线"/>
          <w:szCs w:val="21"/>
        </w:rPr>
        <w:t>请使用</w:t>
      </w:r>
      <w:r>
        <w:rPr>
          <w:rFonts w:hint="eastAsia" w:ascii="等线" w:hAnsi="等线" w:eastAsia="等线" w:cs="等线"/>
          <w:b/>
          <w:bCs/>
          <w:color w:val="FF0000"/>
          <w:szCs w:val="21"/>
        </w:rPr>
        <w:t>APA格式</w:t>
      </w:r>
      <w:r>
        <w:rPr>
          <w:rFonts w:hint="eastAsia" w:ascii="等线" w:hAnsi="等线" w:eastAsia="等线" w:cs="等线"/>
          <w:szCs w:val="21"/>
        </w:rPr>
        <w:t>生成，按照概述中出现顺序编号。</w:t>
      </w:r>
    </w:p>
    <w:p>
      <w:pPr>
        <w:tabs>
          <w:tab w:val="left" w:pos="0"/>
          <w:tab w:val="left" w:pos="735"/>
        </w:tabs>
        <w:spacing w:line="288" w:lineRule="auto"/>
        <w:ind w:firstLine="420" w:firstLineChars="200"/>
        <w:rPr>
          <w:rFonts w:ascii="Times New Roman" w:hAnsi="Times New Roman" w:eastAsia="黑体" w:cs="Times New Roman"/>
          <w:sz w:val="32"/>
        </w:rPr>
      </w:pPr>
      <w:r>
        <w:rPr>
          <w:rFonts w:hint="eastAsia" w:ascii="等线" w:hAnsi="等线" w:eastAsia="等线" w:cs="等线"/>
          <w:b/>
          <w:bCs/>
          <w:szCs w:val="21"/>
        </w:rPr>
        <w:t>字体要求：</w:t>
      </w:r>
      <w:r>
        <w:rPr>
          <w:rFonts w:hint="eastAsia" w:ascii="等线" w:hAnsi="等线" w:eastAsia="等线" w:cs="等线"/>
          <w:b/>
          <w:bCs/>
          <w:color w:val="FF0000"/>
          <w:szCs w:val="21"/>
        </w:rPr>
        <w:t>文题用三号Time New Roman、加粗；其他均用五号Time New Roman 字体。具体排版请参考范例。</w:t>
      </w:r>
      <w:r>
        <w:rPr>
          <w:rFonts w:hint="eastAsia" w:ascii="等线" w:hAnsi="等线" w:eastAsia="等线" w:cs="等线"/>
          <w:sz w:val="32"/>
        </w:rPr>
        <w:br w:type="page"/>
      </w:r>
    </w:p>
    <w:p>
      <w:pPr>
        <w:rPr>
          <w:rFonts w:ascii="Times New Roman" w:hAnsi="Times New Roman" w:eastAsia="黑体" w:cs="Times New Roman"/>
          <w:b/>
          <w:color w:val="FF0000"/>
          <w:sz w:val="32"/>
        </w:rPr>
      </w:pPr>
      <w:r>
        <w:rPr>
          <w:rFonts w:hint="eastAsia" w:ascii="Times New Roman" w:hAnsi="Times New Roman" w:eastAsia="黑体" w:cs="Times New Roman"/>
          <w:b/>
          <w:color w:val="FF0000"/>
          <w:sz w:val="32"/>
        </w:rPr>
        <w:t>示例1</w:t>
      </w:r>
    </w:p>
    <w:p>
      <w:pPr>
        <w:jc w:val="center"/>
        <w:rPr>
          <w:rFonts w:ascii="黑体" w:hAnsi="黑体" w:eastAsia="黑体" w:cs="Times New Roman"/>
          <w:sz w:val="32"/>
        </w:rPr>
      </w:pPr>
      <w:r>
        <w:rPr>
          <w:rFonts w:ascii="黑体" w:hAnsi="黑体" w:eastAsia="黑体" w:cs="Times New Roman"/>
          <w:sz w:val="32"/>
        </w:rPr>
        <w:t>PEI接枝改性反渗透（RO）膜处理低放废液</w:t>
      </w:r>
    </w:p>
    <w:p>
      <w:pPr>
        <w:jc w:val="center"/>
        <w:rPr>
          <w:rFonts w:ascii="Times New Roman" w:hAnsi="Times New Roman" w:eastAsia="宋体" w:cs="Times New Roman"/>
          <w:sz w:val="24"/>
        </w:rPr>
      </w:pPr>
    </w:p>
    <w:p>
      <w:pPr>
        <w:jc w:val="center"/>
        <w:rPr>
          <w:rFonts w:ascii="宋体" w:hAnsi="宋体" w:eastAsia="宋体" w:cs="Times New Roman"/>
          <w:sz w:val="24"/>
          <w:szCs w:val="24"/>
          <w:vertAlign w:val="superscript"/>
        </w:rPr>
      </w:pPr>
      <w:r>
        <w:rPr>
          <w:rFonts w:ascii="宋体" w:hAnsi="宋体" w:eastAsia="宋体" w:cs="Times New Roman"/>
          <w:sz w:val="24"/>
          <w:szCs w:val="24"/>
        </w:rPr>
        <w:t>陈</w:t>
      </w:r>
      <w:r>
        <w:rPr>
          <w:rFonts w:hint="eastAsia" w:ascii="宋体" w:hAnsi="宋体" w:eastAsia="宋体" w:cs="Times New Roman"/>
          <w:sz w:val="24"/>
          <w:szCs w:val="24"/>
        </w:rPr>
        <w:t>三</w:t>
      </w:r>
      <w:r>
        <w:rPr>
          <w:rFonts w:hint="eastAsia" w:ascii="宋体" w:hAnsi="宋体" w:eastAsia="宋体" w:cs="Times New Roman"/>
          <w:sz w:val="24"/>
          <w:szCs w:val="24"/>
          <w:vertAlign w:val="superscript"/>
        </w:rPr>
        <w:t>1</w:t>
      </w:r>
      <w:r>
        <w:rPr>
          <w:rFonts w:ascii="宋体" w:hAnsi="宋体" w:eastAsia="宋体" w:cs="Times New Roman"/>
          <w:sz w:val="24"/>
          <w:szCs w:val="24"/>
        </w:rPr>
        <w:t>，赵</w:t>
      </w:r>
      <w:r>
        <w:rPr>
          <w:rFonts w:hint="eastAsia" w:ascii="宋体" w:hAnsi="宋体" w:eastAsia="宋体" w:cs="Times New Roman"/>
          <w:sz w:val="24"/>
          <w:szCs w:val="24"/>
        </w:rPr>
        <w:t>四</w:t>
      </w:r>
      <w:r>
        <w:rPr>
          <w:rFonts w:hint="eastAsia" w:ascii="宋体" w:hAnsi="宋体" w:eastAsia="宋体" w:cs="Times New Roman"/>
          <w:sz w:val="24"/>
          <w:szCs w:val="24"/>
          <w:vertAlign w:val="superscript"/>
        </w:rPr>
        <w:t>1</w:t>
      </w:r>
    </w:p>
    <w:p>
      <w:pPr>
        <w:jc w:val="center"/>
        <w:rPr>
          <w:rFonts w:ascii="宋体" w:hAnsi="宋体" w:eastAsia="宋体" w:cs="Times New Roman"/>
          <w:sz w:val="24"/>
          <w:szCs w:val="24"/>
        </w:rPr>
      </w:pPr>
      <w:r>
        <w:rPr>
          <w:rFonts w:hint="eastAsia" w:ascii="宋体" w:hAnsi="宋体" w:eastAsia="宋体" w:cs="Times New Roman"/>
          <w:sz w:val="24"/>
          <w:szCs w:val="24"/>
        </w:rPr>
        <w:t>（1</w:t>
      </w:r>
      <w:r>
        <w:rPr>
          <w:rFonts w:ascii="宋体" w:hAnsi="宋体" w:eastAsia="宋体" w:cs="Times New Roman"/>
          <w:sz w:val="24"/>
          <w:szCs w:val="24"/>
        </w:rPr>
        <w:t>.清华大学核能与新能源技术研究院，北京，100084，中国</w:t>
      </w:r>
      <w:r>
        <w:rPr>
          <w:rFonts w:hint="eastAsia" w:ascii="宋体" w:hAnsi="宋体" w:eastAsia="宋体" w:cs="Times New Roman"/>
          <w:sz w:val="24"/>
          <w:szCs w:val="24"/>
        </w:rPr>
        <w:t>）</w:t>
      </w:r>
    </w:p>
    <w:p>
      <w:pPr>
        <w:spacing w:line="360" w:lineRule="auto"/>
        <w:ind w:firstLine="480" w:firstLineChars="200"/>
        <w:jc w:val="left"/>
        <w:rPr>
          <w:rFonts w:ascii="宋体" w:hAnsi="宋体" w:eastAsia="宋体" w:cs="Times New Roman"/>
          <w:sz w:val="24"/>
          <w:szCs w:val="24"/>
        </w:rPr>
      </w:pPr>
    </w:p>
    <w:p>
      <w:pPr>
        <w:spacing w:line="360" w:lineRule="auto"/>
        <w:ind w:firstLine="480" w:firstLineChars="200"/>
        <w:jc w:val="left"/>
        <w:rPr>
          <w:rFonts w:ascii="宋体" w:hAnsi="宋体" w:eastAsia="宋体" w:cs="Times New Roman"/>
          <w:sz w:val="24"/>
          <w:szCs w:val="24"/>
        </w:rPr>
      </w:pPr>
      <w:r>
        <w:rPr>
          <w:rFonts w:ascii="宋体" w:hAnsi="宋体" w:eastAsia="宋体" w:cs="Times New Roman"/>
          <w:sz w:val="24"/>
          <w:szCs w:val="24"/>
        </w:rPr>
        <w:t>随着反渗透应用领域的扩展，具有高核素截留效率的反渗透膜在低放废液处理领域具有较强的应用价值。然而，在反渗透技术在核电废液处理的实际应用中，由于核素浓度较低，反渗透膜难以达到较高的核素截留效率</w:t>
      </w:r>
      <w:r>
        <w:rPr>
          <w:rFonts w:hint="eastAsia" w:ascii="宋体" w:hAnsi="宋体" w:eastAsia="宋体" w:cs="Times New Roman"/>
          <w:sz w:val="24"/>
          <w:szCs w:val="24"/>
        </w:rPr>
        <w:t>，</w:t>
      </w:r>
      <w:r>
        <w:rPr>
          <w:rFonts w:ascii="宋体" w:hAnsi="宋体" w:eastAsia="宋体" w:cs="Times New Roman"/>
          <w:sz w:val="24"/>
          <w:szCs w:val="24"/>
        </w:rPr>
        <w:t>不能满足低放废液处理系统对核素的去污要求。因此，制备具有高核素截留率的反渗透膜，是提高反渗透工艺对低放废液处理效果的核心内容</w:t>
      </w:r>
      <w:r>
        <w:rPr>
          <w:rFonts w:ascii="宋体" w:hAnsi="宋体" w:eastAsia="宋体" w:cs="Times New Roman"/>
          <w:sz w:val="24"/>
          <w:szCs w:val="24"/>
          <w:vertAlign w:val="superscript"/>
        </w:rPr>
        <w:t>[1,2]</w:t>
      </w:r>
      <w:r>
        <w:rPr>
          <w:rFonts w:ascii="宋体" w:hAnsi="宋体" w:eastAsia="宋体" w:cs="Times New Roman"/>
          <w:sz w:val="24"/>
          <w:szCs w:val="24"/>
        </w:rPr>
        <w:t>。当处理核素浓度为痕量的低放废液时，负电荷不能提高核素截留率，而正电荷能够以静电排斥作用阻碍核素靠近膜表面，有利于核素的截留。该现象已经得到了相关研究的证实，但是正电荷反渗透膜的制备技术还很不成熟，其表面电荷改变对核素截留的影响的研究还处于空白阶段。本研究拟采用化学接枝的方法将聚乙烯亚胺（PEI）接枝到反渗透膜表面，一方面覆盖膜表面的羧基，另一方面PEI本身带弱正电性，以此使得膜表面带正</w:t>
      </w:r>
      <w:r>
        <w:rPr>
          <w:rFonts w:hint="eastAsia" w:ascii="宋体" w:hAnsi="宋体" w:eastAsia="宋体" w:cs="Times New Roman"/>
          <w:sz w:val="24"/>
          <w:szCs w:val="24"/>
        </w:rPr>
        <w:t>电荷</w:t>
      </w:r>
      <w:r>
        <w:rPr>
          <w:rFonts w:ascii="宋体" w:hAnsi="宋体" w:eastAsia="宋体" w:cs="Times New Roman"/>
          <w:sz w:val="24"/>
          <w:szCs w:val="24"/>
        </w:rPr>
        <w:t>。具体做法为使用EDC/NHS交联反应活化，将不同分子量（PEI 600，PEI 1800，PEI 10,000和PEI 70,000）的PEI分别接枝在膜表面，PEI的接枝浓度均为5%，具体过程见图1。</w:t>
      </w:r>
    </w:p>
    <w:p>
      <w:pPr>
        <w:jc w:val="center"/>
        <w:rPr>
          <w:rFonts w:ascii="宋体" w:hAnsi="宋体" w:eastAsia="宋体" w:cs="Times New Roman"/>
          <w:sz w:val="24"/>
          <w:szCs w:val="24"/>
        </w:rPr>
      </w:pPr>
      <w:r>
        <w:rPr>
          <w:rFonts w:ascii="宋体" w:hAnsi="宋体" w:eastAsia="宋体" w:cs="Times New Roman"/>
          <w:sz w:val="24"/>
          <w:szCs w:val="24"/>
        </w:rPr>
        <w:drawing>
          <wp:inline distT="0" distB="0" distL="0" distR="0">
            <wp:extent cx="3367405" cy="2087245"/>
            <wp:effectExtent l="0" t="0" r="10795" b="825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3385391" cy="2098548"/>
                    </a:xfrm>
                    <a:prstGeom prst="rect">
                      <a:avLst/>
                    </a:prstGeom>
                    <a:noFill/>
                  </pic:spPr>
                </pic:pic>
              </a:graphicData>
            </a:graphic>
          </wp:inline>
        </w:drawing>
      </w:r>
    </w:p>
    <w:p>
      <w:pPr>
        <w:jc w:val="center"/>
        <w:rPr>
          <w:rFonts w:ascii="宋体" w:hAnsi="宋体" w:eastAsia="宋体" w:cs="Times New Roman"/>
          <w:b/>
          <w:szCs w:val="21"/>
        </w:rPr>
      </w:pPr>
      <w:r>
        <w:rPr>
          <w:rFonts w:ascii="宋体" w:hAnsi="宋体" w:eastAsia="宋体" w:cs="Times New Roman"/>
          <w:b/>
          <w:szCs w:val="21"/>
        </w:rPr>
        <w:t>图1 PEI接枝过程</w:t>
      </w:r>
    </w:p>
    <w:p>
      <w:pPr>
        <w:spacing w:line="360" w:lineRule="auto"/>
        <w:ind w:firstLine="480" w:firstLineChars="200"/>
        <w:jc w:val="left"/>
        <w:rPr>
          <w:rFonts w:ascii="宋体" w:hAnsi="宋体" w:eastAsia="宋体" w:cs="Times New Roman"/>
          <w:sz w:val="24"/>
          <w:szCs w:val="24"/>
        </w:rPr>
      </w:pPr>
      <w:r>
        <w:rPr>
          <w:rFonts w:ascii="宋体" w:hAnsi="宋体" w:eastAsia="宋体" w:cs="Times New Roman"/>
          <w:sz w:val="24"/>
          <w:szCs w:val="24"/>
        </w:rPr>
        <w:t>结果表明，接枝PEI不仅会对膜表面电荷产生影响，由于其强亲水性等性质，因此，对于膜的表面性质也产生了明显的改善。接枝PEI的膜相对于原始膜，亲水性得到了显著的增强，而且随着其分子量的增加，效果更加明显。例如，当接枝PEI 70,000时，膜表面的接触角仅约30°，不足原始膜的二分之一(约72°)。而改性膜对于核素的截留则显示出了显著的增强，对Cs(I)的截留率由90%左右上升到98%以上，特别地，随着PEI分子量的增加，截留效果也更好，PEI10,000和PEI70,000接枝膜的截留率都稳定在99%以上。对于高价核素离子，例如Co(II)的截留也有所增强，从97.5%上升到99.5%以上，其中PEI10,000和PEI70,000接枝膜的截留率稳定在99.9%左右。而改性膜的通量的降低也在接受范围之内，尤其是PEI600接枝膜的通量的降低可以忽略不计，其余三款膜则有10%~30%左右的通量降低。</w:t>
      </w:r>
    </w:p>
    <w:p>
      <w:pPr>
        <w:jc w:val="left"/>
        <w:rPr>
          <w:rFonts w:ascii="宋体" w:hAnsi="宋体" w:eastAsia="宋体" w:cs="Times New Roman"/>
          <w:sz w:val="24"/>
          <w:szCs w:val="24"/>
        </w:rPr>
      </w:pPr>
      <w:r>
        <w:rPr>
          <w:rFonts w:ascii="宋体" w:hAnsi="宋体" w:eastAsia="宋体" w:cs="Times New Roman"/>
          <w:sz w:val="24"/>
          <w:szCs w:val="24"/>
        </w:rPr>
        <w:drawing>
          <wp:anchor distT="0" distB="0" distL="114300" distR="114300" simplePos="0" relativeHeight="251661312" behindDoc="0" locked="0" layoutInCell="1" allowOverlap="1">
            <wp:simplePos x="0" y="0"/>
            <wp:positionH relativeFrom="column">
              <wp:posOffset>2620010</wp:posOffset>
            </wp:positionH>
            <wp:positionV relativeFrom="paragraph">
              <wp:posOffset>-46355</wp:posOffset>
            </wp:positionV>
            <wp:extent cx="2418715" cy="1881505"/>
            <wp:effectExtent l="0" t="0" r="6985" b="10795"/>
            <wp:wrapNone/>
            <wp:docPr id="27"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6"/>
                    <pic:cNvPicPr>
                      <a:picLocks noChangeAspect="1"/>
                    </pic:cNvPicPr>
                  </pic:nvPicPr>
                  <pic:blipFill>
                    <a:blip r:embed="rId7">
                      <a:clrChange>
                        <a:clrFrom>
                          <a:srgbClr val="FFFFFF"/>
                        </a:clrFrom>
                        <a:clrTo>
                          <a:srgbClr val="FFFFFF">
                            <a:alpha val="0"/>
                          </a:srgbClr>
                        </a:clrTo>
                      </a:clrChange>
                    </a:blip>
                    <a:stretch>
                      <a:fillRect/>
                    </a:stretch>
                  </pic:blipFill>
                  <pic:spPr>
                    <a:xfrm>
                      <a:off x="0" y="0"/>
                      <a:ext cx="2418963" cy="1881351"/>
                    </a:xfrm>
                    <a:prstGeom prst="rect">
                      <a:avLst/>
                    </a:prstGeom>
                  </pic:spPr>
                </pic:pic>
              </a:graphicData>
            </a:graphic>
          </wp:anchor>
        </w:drawing>
      </w:r>
      <w:r>
        <w:rPr>
          <w:rFonts w:ascii="宋体" w:hAnsi="宋体" w:eastAsia="宋体" w:cs="Times New Roman"/>
          <w:sz w:val="24"/>
          <w:szCs w:val="24"/>
        </w:rPr>
        <w:drawing>
          <wp:anchor distT="0" distB="0" distL="114300" distR="114300" simplePos="0" relativeHeight="251660288" behindDoc="0" locked="0" layoutInCell="1" allowOverlap="1">
            <wp:simplePos x="0" y="0"/>
            <wp:positionH relativeFrom="column">
              <wp:posOffset>3810</wp:posOffset>
            </wp:positionH>
            <wp:positionV relativeFrom="paragraph">
              <wp:posOffset>12700</wp:posOffset>
            </wp:positionV>
            <wp:extent cx="2418715" cy="1710690"/>
            <wp:effectExtent l="0" t="0" r="6985" b="3810"/>
            <wp:wrapNone/>
            <wp:docPr id="26"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5"/>
                    <pic:cNvPicPr>
                      <a:picLocks noChangeAspect="1"/>
                    </pic:cNvPicPr>
                  </pic:nvPicPr>
                  <pic:blipFill>
                    <a:blip r:embed="rId8">
                      <a:clrChange>
                        <a:clrFrom>
                          <a:srgbClr val="FFFFFF"/>
                        </a:clrFrom>
                        <a:clrTo>
                          <a:srgbClr val="FFFFFF">
                            <a:alpha val="0"/>
                          </a:srgbClr>
                        </a:clrTo>
                      </a:clrChange>
                    </a:blip>
                    <a:stretch>
                      <a:fillRect/>
                    </a:stretch>
                  </pic:blipFill>
                  <pic:spPr>
                    <a:xfrm>
                      <a:off x="0" y="0"/>
                      <a:ext cx="2418963" cy="1710690"/>
                    </a:xfrm>
                    <a:prstGeom prst="rect">
                      <a:avLst/>
                    </a:prstGeom>
                  </pic:spPr>
                </pic:pic>
              </a:graphicData>
            </a:graphic>
          </wp:anchor>
        </w:drawing>
      </w:r>
      <w:r>
        <w:rPr>
          <w:rFonts w:ascii="宋体" w:hAnsi="宋体" w:eastAsia="宋体" w:cs="Times New Roman"/>
          <w:sz w:val="24"/>
          <w:szCs w:val="24"/>
        </w:rPr>
        <w:drawing>
          <wp:anchor distT="0" distB="0" distL="114300" distR="114300" simplePos="0" relativeHeight="251659264" behindDoc="0" locked="0" layoutInCell="1" allowOverlap="1">
            <wp:simplePos x="0" y="0"/>
            <wp:positionH relativeFrom="column">
              <wp:posOffset>9611360</wp:posOffset>
            </wp:positionH>
            <wp:positionV relativeFrom="paragraph">
              <wp:posOffset>7534275</wp:posOffset>
            </wp:positionV>
            <wp:extent cx="2418715" cy="1708150"/>
            <wp:effectExtent l="0" t="0" r="6985" b="6350"/>
            <wp:wrapNone/>
            <wp:docPr id="25"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4"/>
                    <pic:cNvPicPr>
                      <a:picLocks noChangeAspect="1"/>
                    </pic:cNvPicPr>
                  </pic:nvPicPr>
                  <pic:blipFill>
                    <a:blip r:embed="rId9">
                      <a:clrChange>
                        <a:clrFrom>
                          <a:srgbClr val="FFFFFF"/>
                        </a:clrFrom>
                        <a:clrTo>
                          <a:srgbClr val="FFFFFF">
                            <a:alpha val="0"/>
                          </a:srgbClr>
                        </a:clrTo>
                      </a:clrChange>
                    </a:blip>
                    <a:stretch>
                      <a:fillRect/>
                    </a:stretch>
                  </pic:blipFill>
                  <pic:spPr>
                    <a:xfrm>
                      <a:off x="0" y="0"/>
                      <a:ext cx="2420509" cy="1709452"/>
                    </a:xfrm>
                    <a:prstGeom prst="rect">
                      <a:avLst/>
                    </a:prstGeom>
                  </pic:spPr>
                </pic:pic>
              </a:graphicData>
            </a:graphic>
          </wp:anchor>
        </w:drawing>
      </w:r>
      <w:r>
        <w:rPr>
          <w:rFonts w:ascii="宋体" w:hAnsi="宋体" w:eastAsia="宋体" w:cs="Times New Roman"/>
          <w:sz w:val="24"/>
          <w:szCs w:val="24"/>
        </w:rPr>
        <w:drawing>
          <wp:anchor distT="0" distB="0" distL="114300" distR="114300" simplePos="0" relativeHeight="251662336" behindDoc="0" locked="0" layoutInCell="1" allowOverlap="1">
            <wp:simplePos x="0" y="0"/>
            <wp:positionH relativeFrom="column">
              <wp:posOffset>9585960</wp:posOffset>
            </wp:positionH>
            <wp:positionV relativeFrom="paragraph">
              <wp:posOffset>2032635</wp:posOffset>
            </wp:positionV>
            <wp:extent cx="2418715" cy="1722120"/>
            <wp:effectExtent l="0" t="0" r="6985" b="5080"/>
            <wp:wrapNone/>
            <wp:docPr id="28"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7"/>
                    <pic:cNvPicPr>
                      <a:picLocks noChangeAspect="1"/>
                    </pic:cNvPicPr>
                  </pic:nvPicPr>
                  <pic:blipFill>
                    <a:blip r:embed="rId10">
                      <a:clrChange>
                        <a:clrFrom>
                          <a:srgbClr val="FFFFFF"/>
                        </a:clrFrom>
                        <a:clrTo>
                          <a:srgbClr val="FFFFFF">
                            <a:alpha val="0"/>
                          </a:srgbClr>
                        </a:clrTo>
                      </a:clrChange>
                    </a:blip>
                    <a:stretch>
                      <a:fillRect/>
                    </a:stretch>
                  </pic:blipFill>
                  <pic:spPr>
                    <a:xfrm>
                      <a:off x="0" y="0"/>
                      <a:ext cx="2420476" cy="1723416"/>
                    </a:xfrm>
                    <a:prstGeom prst="rect">
                      <a:avLst/>
                    </a:prstGeom>
                  </pic:spPr>
                </pic:pic>
              </a:graphicData>
            </a:graphic>
          </wp:anchor>
        </w:drawing>
      </w:r>
    </w:p>
    <w:p>
      <w:pPr>
        <w:jc w:val="left"/>
        <w:rPr>
          <w:rFonts w:ascii="宋体" w:hAnsi="宋体" w:eastAsia="宋体" w:cs="Times New Roman"/>
          <w:sz w:val="24"/>
          <w:szCs w:val="24"/>
        </w:rPr>
      </w:pPr>
    </w:p>
    <w:p>
      <w:pPr>
        <w:jc w:val="left"/>
        <w:rPr>
          <w:rFonts w:ascii="宋体" w:hAnsi="宋体" w:eastAsia="宋体" w:cs="Times New Roman"/>
          <w:sz w:val="24"/>
          <w:szCs w:val="24"/>
        </w:rPr>
      </w:pPr>
    </w:p>
    <w:p>
      <w:pPr>
        <w:jc w:val="left"/>
        <w:rPr>
          <w:rFonts w:ascii="宋体" w:hAnsi="宋体" w:eastAsia="宋体" w:cs="Times New Roman"/>
          <w:sz w:val="24"/>
          <w:szCs w:val="24"/>
        </w:rPr>
      </w:pPr>
    </w:p>
    <w:p>
      <w:pPr>
        <w:jc w:val="left"/>
        <w:rPr>
          <w:rFonts w:ascii="宋体" w:hAnsi="宋体" w:eastAsia="宋体" w:cs="Times New Roman"/>
          <w:sz w:val="24"/>
          <w:szCs w:val="24"/>
        </w:rPr>
      </w:pPr>
    </w:p>
    <w:p>
      <w:pPr>
        <w:jc w:val="left"/>
        <w:rPr>
          <w:rFonts w:ascii="宋体" w:hAnsi="宋体" w:eastAsia="宋体" w:cs="Times New Roman"/>
          <w:sz w:val="24"/>
          <w:szCs w:val="24"/>
        </w:rPr>
      </w:pPr>
    </w:p>
    <w:p>
      <w:pPr>
        <w:jc w:val="left"/>
        <w:rPr>
          <w:rFonts w:ascii="宋体" w:hAnsi="宋体" w:eastAsia="宋体" w:cs="Times New Roman"/>
          <w:sz w:val="24"/>
          <w:szCs w:val="24"/>
        </w:rPr>
      </w:pPr>
    </w:p>
    <w:p>
      <w:pPr>
        <w:jc w:val="left"/>
        <w:rPr>
          <w:rFonts w:ascii="宋体" w:hAnsi="宋体" w:eastAsia="宋体" w:cs="Times New Roman"/>
          <w:sz w:val="24"/>
          <w:szCs w:val="24"/>
        </w:rPr>
      </w:pPr>
    </w:p>
    <w:p>
      <w:pPr>
        <w:jc w:val="left"/>
        <w:rPr>
          <w:rFonts w:ascii="宋体" w:hAnsi="宋体" w:eastAsia="宋体" w:cs="Times New Roman"/>
          <w:sz w:val="24"/>
          <w:szCs w:val="24"/>
        </w:rPr>
      </w:pPr>
    </w:p>
    <w:p>
      <w:pPr>
        <w:jc w:val="center"/>
        <w:rPr>
          <w:rFonts w:ascii="宋体" w:hAnsi="宋体" w:eastAsia="宋体" w:cs="Times New Roman"/>
          <w:b/>
          <w:szCs w:val="24"/>
        </w:rPr>
      </w:pPr>
      <w:r>
        <w:rPr>
          <w:rFonts w:hint="eastAsia" w:ascii="宋体" w:hAnsi="宋体" w:eastAsia="宋体" w:cs="Times New Roman"/>
          <w:b/>
          <w:szCs w:val="24"/>
        </w:rPr>
        <w:t>图2 原始膜和PEI改性膜对Cs(</w:t>
      </w:r>
      <w:r>
        <w:rPr>
          <w:rFonts w:ascii="宋体" w:hAnsi="宋体" w:eastAsia="宋体" w:cs="Times New Roman"/>
          <w:b/>
          <w:szCs w:val="24"/>
        </w:rPr>
        <w:t>I</w:t>
      </w:r>
      <w:r>
        <w:rPr>
          <w:rFonts w:hint="eastAsia" w:ascii="宋体" w:hAnsi="宋体" w:eastAsia="宋体" w:cs="Times New Roman"/>
          <w:b/>
          <w:szCs w:val="24"/>
        </w:rPr>
        <w:t>)和Co(</w:t>
      </w:r>
      <w:r>
        <w:rPr>
          <w:rFonts w:ascii="宋体" w:hAnsi="宋体" w:eastAsia="宋体" w:cs="Times New Roman"/>
          <w:b/>
          <w:szCs w:val="24"/>
        </w:rPr>
        <w:t>II</w:t>
      </w:r>
      <w:r>
        <w:rPr>
          <w:rFonts w:hint="eastAsia" w:ascii="宋体" w:hAnsi="宋体" w:eastAsia="宋体" w:cs="Times New Roman"/>
          <w:b/>
          <w:szCs w:val="24"/>
        </w:rPr>
        <w:t>)的截留率</w:t>
      </w:r>
    </w:p>
    <w:p>
      <w:pPr>
        <w:spacing w:line="360" w:lineRule="auto"/>
        <w:ind w:firstLine="480" w:firstLineChars="200"/>
        <w:jc w:val="left"/>
        <w:rPr>
          <w:rFonts w:ascii="宋体" w:hAnsi="宋体" w:eastAsia="宋体" w:cs="Times New Roman"/>
          <w:sz w:val="24"/>
          <w:szCs w:val="24"/>
        </w:rPr>
      </w:pPr>
      <w:r>
        <w:rPr>
          <w:rFonts w:hint="eastAsia" w:ascii="宋体" w:hAnsi="宋体" w:eastAsia="宋体" w:cs="Times New Roman"/>
          <w:sz w:val="24"/>
          <w:szCs w:val="24"/>
        </w:rPr>
        <w:t>本研究表明，在反渗透膜表面接枝正电荷能够促进核素截留，对主要核素离子的去除效果显著增强。而对于膜通量的影响则受空间位阻和亲水性的双重影响，表现出不同的变化。此外，接枝正电荷的同时，根据接枝物质的性质，膜表面性能如亲水性、粗糙度等也会受到显著影响，因此，在选择接枝物质时，应该综合考虑膜去除核素和表面性质的综合需求。</w:t>
      </w:r>
    </w:p>
    <w:p>
      <w:pPr>
        <w:jc w:val="left"/>
        <w:rPr>
          <w:rFonts w:ascii="宋体" w:hAnsi="宋体" w:eastAsia="宋体" w:cs="Times New Roman"/>
          <w:sz w:val="24"/>
          <w:szCs w:val="24"/>
        </w:rPr>
      </w:pPr>
    </w:p>
    <w:p>
      <w:pPr>
        <w:jc w:val="left"/>
        <w:rPr>
          <w:rFonts w:ascii="宋体" w:hAnsi="宋体" w:eastAsia="宋体" w:cs="Times New Roman"/>
          <w:b/>
          <w:sz w:val="24"/>
          <w:szCs w:val="24"/>
        </w:rPr>
      </w:pPr>
      <w:r>
        <w:rPr>
          <w:rFonts w:hint="eastAsia" w:ascii="宋体" w:hAnsi="宋体" w:eastAsia="宋体" w:cs="Times New Roman"/>
          <w:b/>
          <w:sz w:val="24"/>
          <w:szCs w:val="24"/>
        </w:rPr>
        <w:t>邮箱：</w:t>
      </w:r>
      <w:r>
        <w:fldChar w:fldCharType="begin"/>
      </w:r>
      <w:r>
        <w:instrText xml:space="preserve"> HYPERLINK "mailto:XXXXXX@qq.com" </w:instrText>
      </w:r>
      <w:r>
        <w:fldChar w:fldCharType="separate"/>
      </w:r>
      <w:r>
        <w:rPr>
          <w:rStyle w:val="8"/>
          <w:rFonts w:ascii="宋体" w:hAnsi="宋体" w:eastAsia="宋体" w:cs="Times New Roman"/>
          <w:sz w:val="24"/>
          <w:szCs w:val="24"/>
        </w:rPr>
        <w:t>XXXXXX</w:t>
      </w:r>
      <w:r>
        <w:rPr>
          <w:rStyle w:val="8"/>
          <w:rFonts w:hint="eastAsia" w:ascii="宋体" w:hAnsi="宋体" w:eastAsia="宋体" w:cs="Times New Roman"/>
          <w:sz w:val="24"/>
          <w:szCs w:val="24"/>
        </w:rPr>
        <w:t>@qq.com</w:t>
      </w:r>
      <w:r>
        <w:rPr>
          <w:rStyle w:val="8"/>
          <w:rFonts w:hint="eastAsia" w:ascii="宋体" w:hAnsi="宋体" w:eastAsia="宋体" w:cs="Times New Roman"/>
          <w:sz w:val="24"/>
          <w:szCs w:val="24"/>
        </w:rPr>
        <w:fldChar w:fldCharType="end"/>
      </w:r>
    </w:p>
    <w:p>
      <w:pPr>
        <w:jc w:val="left"/>
        <w:rPr>
          <w:rFonts w:ascii="宋体" w:hAnsi="宋体" w:eastAsia="宋体" w:cs="Times New Roman"/>
          <w:b/>
          <w:sz w:val="24"/>
          <w:szCs w:val="24"/>
        </w:rPr>
      </w:pPr>
      <w:r>
        <w:rPr>
          <w:rFonts w:hint="eastAsia" w:ascii="宋体" w:hAnsi="宋体" w:eastAsia="宋体" w:cs="Times New Roman"/>
          <w:b/>
          <w:sz w:val="24"/>
          <w:szCs w:val="24"/>
        </w:rPr>
        <w:t>关键词：</w:t>
      </w:r>
      <w:r>
        <w:rPr>
          <w:rFonts w:hint="eastAsia" w:ascii="宋体" w:hAnsi="宋体" w:eastAsia="宋体" w:cs="Times New Roman"/>
          <w:sz w:val="24"/>
          <w:szCs w:val="24"/>
        </w:rPr>
        <w:t>反渗透膜、化学接枝、阳离子</w:t>
      </w:r>
    </w:p>
    <w:p>
      <w:pPr>
        <w:jc w:val="left"/>
        <w:rPr>
          <w:rFonts w:ascii="宋体" w:hAnsi="宋体" w:eastAsia="宋体" w:cs="Times New Roman"/>
          <w:b/>
          <w:sz w:val="24"/>
          <w:szCs w:val="24"/>
        </w:rPr>
      </w:pPr>
      <w:bookmarkStart w:id="1" w:name="_Hlk97884558"/>
      <w:r>
        <w:rPr>
          <w:rFonts w:hint="eastAsia" w:ascii="宋体" w:hAnsi="宋体" w:eastAsia="宋体" w:cs="Times New Roman"/>
          <w:b/>
          <w:sz w:val="24"/>
          <w:szCs w:val="24"/>
        </w:rPr>
        <w:t>参考文献：</w:t>
      </w:r>
    </w:p>
    <w:bookmarkEnd w:id="1"/>
    <w:p>
      <w:pPr>
        <w:jc w:val="left"/>
        <w:rPr>
          <w:rFonts w:ascii="Times New Roman" w:hAnsi="Times New Roman" w:eastAsia="宋体" w:cs="Times New Roman"/>
          <w:szCs w:val="21"/>
        </w:rPr>
      </w:pPr>
      <w:r>
        <w:rPr>
          <w:rFonts w:ascii="Times New Roman" w:hAnsi="Times New Roman" w:eastAsia="宋体" w:cs="Times New Roman"/>
          <w:szCs w:val="21"/>
        </w:rPr>
        <w:t>[1] [ Grażyna Zakrzewska-Trznadel,  Harasimowicz, M. , &amp;  Chmielewski], A. G. . (2001). Membrane processes in nuclear technology-application for liquid radioactive waste treatment. Separation and Purification Technology.</w:t>
      </w:r>
    </w:p>
    <w:p>
      <w:pPr>
        <w:jc w:val="left"/>
        <w:rPr>
          <w:rFonts w:ascii="Times New Roman" w:hAnsi="Times New Roman" w:eastAsia="宋体" w:cs="Times New Roman"/>
          <w:szCs w:val="21"/>
        </w:rPr>
      </w:pPr>
      <w:r>
        <w:rPr>
          <w:rFonts w:ascii="Times New Roman" w:hAnsi="Times New Roman" w:eastAsia="宋体" w:cs="Times New Roman"/>
          <w:szCs w:val="21"/>
        </w:rPr>
        <w:t>[2]  Sasaki, T. ,  Okabe, J. ,  Henmi, M. ,  Hayashi, H. , &amp;  Iida, Y. . (2012). Cesium (cs) and strontium (sr) removal as model materials in radioactive water by advanced reverse osmosis membrane. Desalination and water treatment, 51(7), 1-6.</w:t>
      </w:r>
      <w:r>
        <w:rPr>
          <w:rFonts w:ascii="Times New Roman" w:hAnsi="Times New Roman" w:eastAsia="宋体" w:cs="Times New Roman"/>
          <w:sz w:val="24"/>
          <w:szCs w:val="21"/>
        </w:rPr>
        <w:t xml:space="preserve"> </w:t>
      </w:r>
      <w:r>
        <w:rPr>
          <w:rFonts w:ascii="Times New Roman" w:hAnsi="Times New Roman" w:eastAsia="宋体" w:cs="Times New Roman"/>
          <w:sz w:val="24"/>
          <w:szCs w:val="24"/>
        </w:rPr>
        <w:br w:type="page"/>
      </w:r>
    </w:p>
    <w:p>
      <w:pPr>
        <w:pStyle w:val="2"/>
        <w:spacing w:before="0" w:after="0" w:line="240" w:lineRule="auto"/>
        <w:rPr>
          <w:rFonts w:ascii="Times New Roman" w:hAnsi="Times New Roman" w:cs="Times New Roman"/>
          <w:color w:val="FF0000"/>
        </w:rPr>
      </w:pPr>
      <w:r>
        <w:rPr>
          <w:rFonts w:hint="eastAsia" w:ascii="Times New Roman" w:hAnsi="Times New Roman" w:cs="Times New Roman"/>
          <w:color w:val="FF0000"/>
        </w:rPr>
        <w:t>示例2</w:t>
      </w:r>
    </w:p>
    <w:p>
      <w:pPr>
        <w:pStyle w:val="2"/>
        <w:spacing w:before="0" w:after="0" w:line="240" w:lineRule="auto"/>
        <w:jc w:val="center"/>
        <w:rPr>
          <w:rFonts w:ascii="Times New Roman" w:hAnsi="Times New Roman" w:cs="Times New Roman"/>
        </w:rPr>
      </w:pPr>
      <w:r>
        <w:rPr>
          <w:rFonts w:ascii="Times New Roman" w:hAnsi="Times New Roman" w:cs="Times New Roman"/>
        </w:rPr>
        <w:t>Modeling of Particle Thermal Radiation in Nuclear Packed Pebble Beds</w:t>
      </w:r>
    </w:p>
    <w:p>
      <w:pPr>
        <w:jc w:val="center"/>
        <w:rPr>
          <w:rFonts w:ascii="Times New Roman" w:hAnsi="Times New Roman" w:eastAsia="宋体" w:cs="Times New Roman"/>
          <w:szCs w:val="21"/>
        </w:rPr>
      </w:pPr>
    </w:p>
    <w:p>
      <w:pPr>
        <w:jc w:val="center"/>
        <w:rPr>
          <w:rFonts w:ascii="Times New Roman" w:hAnsi="Times New Roman" w:eastAsia="宋体" w:cs="Times New Roman"/>
          <w:sz w:val="24"/>
          <w:szCs w:val="21"/>
        </w:rPr>
      </w:pPr>
      <w:r>
        <w:rPr>
          <w:rFonts w:ascii="Times New Roman" w:hAnsi="Times New Roman" w:eastAsia="宋体" w:cs="Times New Roman"/>
          <w:sz w:val="24"/>
          <w:szCs w:val="21"/>
        </w:rPr>
        <w:t>XX Wu</w:t>
      </w:r>
      <w:r>
        <w:rPr>
          <w:rFonts w:ascii="Times New Roman" w:hAnsi="Times New Roman" w:eastAsia="宋体" w:cs="Times New Roman"/>
          <w:sz w:val="24"/>
          <w:szCs w:val="21"/>
          <w:vertAlign w:val="superscript"/>
        </w:rPr>
        <w:t>1</w:t>
      </w:r>
      <w:r>
        <w:rPr>
          <w:rFonts w:ascii="Times New Roman" w:hAnsi="Times New Roman" w:eastAsia="宋体" w:cs="Times New Roman"/>
          <w:sz w:val="24"/>
          <w:szCs w:val="21"/>
        </w:rPr>
        <w:t xml:space="preserve">, XX </w:t>
      </w:r>
      <w:r>
        <w:rPr>
          <w:rFonts w:hint="eastAsia" w:ascii="Times New Roman" w:hAnsi="Times New Roman" w:eastAsia="宋体" w:cs="Times New Roman"/>
          <w:sz w:val="24"/>
          <w:szCs w:val="21"/>
        </w:rPr>
        <w:t>C</w:t>
      </w:r>
      <w:r>
        <w:rPr>
          <w:rFonts w:ascii="Times New Roman" w:hAnsi="Times New Roman" w:eastAsia="宋体" w:cs="Times New Roman"/>
          <w:sz w:val="24"/>
          <w:szCs w:val="21"/>
        </w:rPr>
        <w:t>hen</w:t>
      </w:r>
      <w:r>
        <w:rPr>
          <w:rFonts w:ascii="Times New Roman" w:hAnsi="Times New Roman" w:eastAsia="宋体" w:cs="Times New Roman"/>
          <w:sz w:val="24"/>
          <w:szCs w:val="21"/>
          <w:vertAlign w:val="superscript"/>
        </w:rPr>
        <w:t>1</w:t>
      </w:r>
      <w:r>
        <w:rPr>
          <w:rFonts w:ascii="Times New Roman" w:hAnsi="Times New Roman" w:eastAsia="宋体" w:cs="Times New Roman"/>
          <w:sz w:val="24"/>
          <w:szCs w:val="21"/>
        </w:rPr>
        <w:t>,</w:t>
      </w:r>
    </w:p>
    <w:p>
      <w:pPr>
        <w:pStyle w:val="12"/>
        <w:numPr>
          <w:ilvl w:val="0"/>
          <w:numId w:val="4"/>
        </w:numPr>
        <w:ind w:firstLineChars="0"/>
        <w:jc w:val="center"/>
        <w:rPr>
          <w:rFonts w:ascii="Times New Roman" w:hAnsi="Times New Roman" w:eastAsia="宋体" w:cs="Times New Roman"/>
          <w:szCs w:val="21"/>
        </w:rPr>
      </w:pPr>
      <w:r>
        <w:rPr>
          <w:rFonts w:ascii="Times New Roman" w:hAnsi="Times New Roman" w:eastAsia="宋体" w:cs="Times New Roman"/>
          <w:szCs w:val="21"/>
        </w:rPr>
        <w:t>XXXXXXXXXXXXX, Beijing, 100084, China)</w:t>
      </w:r>
    </w:p>
    <w:p>
      <w:pPr>
        <w:jc w:val="center"/>
        <w:rPr>
          <w:rFonts w:ascii="Times New Roman" w:hAnsi="Times New Roman" w:eastAsia="宋体" w:cs="Times New Roman"/>
          <w:szCs w:val="21"/>
        </w:rPr>
      </w:pPr>
    </w:p>
    <w:p>
      <w:pPr>
        <w:ind w:firstLine="420" w:firstLineChars="200"/>
        <w:rPr>
          <w:rFonts w:ascii="Times New Roman" w:hAnsi="Times New Roman" w:eastAsia="宋体" w:cs="Times New Roman"/>
          <w:szCs w:val="21"/>
        </w:rPr>
      </w:pPr>
      <w:r>
        <w:rPr>
          <w:rFonts w:ascii="Times New Roman" w:hAnsi="Times New Roman" w:eastAsia="宋体" w:cs="Times New Roman"/>
          <w:szCs w:val="21"/>
        </w:rPr>
        <w:t>The core of the high temperature gas-cooled reactor (HTGR) is a dense packed pebble bed with large-sized fuel spheres. Thermal radiation is important in high temperature packed pebble bed, which is still poorly understood. First, in order to analyze the effect of spatial scale in modeling thermal radiation of packed pebble beds. The long-range model (full integral scale), short-range model (partial integral scale) and microscopic models (sub-particle scale) are compared and analyzed with reference to existing correlations. In high temperature packed pebble beds, the long-range model takes into account all possible radiation between surrounding spheres, even those that are not direct Voronoi neighbors, whereas the short-range model considers only a portion nearby. It is found that when solid conductivity is much greater than the effective thermal conductivity of radiation, the long-range model provides better results than the short-range model in predicting the radiative heat exchange. The short-range model overestimates solid conductivity at low temperatures while underestimating radiative heat exchange. It therefore still provides predictions for total heat exchange that is in good agreement with experimental data in cases where the errors cancel out. The short-range radiation model is more computationally efficient than the long-range model and microscopic model to compute view factor between particles of Voronoi neighbors. Then, in nuclear packed pebble beds, it is a fundamental task to model effective thermal conductivity (ETC) of thermal radiation. Based on the effective heat transfer cells of structured packing, the short-range radiation model (SRM) and a sub-cell radiation model (SCM) are applied to obtain analytical results of ETC. It is shown that the SRM of present effective heat transfer cells are in good agreement with the numerical simulations of random packing. In order to develop a generic theoretical approach of modeling ETC, the sub-cell radiation model is presented and in good agreement with Kunii–Smith correlation, especially at very high temperature ranges (over 1500</w:t>
      </w:r>
      <w:r>
        <w:rPr>
          <w:rFonts w:ascii="Times New Roman" w:hAnsi="Times New Roman" w:eastAsia="MS Gothic" w:cs="Times New Roman"/>
          <w:szCs w:val="21"/>
        </w:rPr>
        <w:t> </w:t>
      </w:r>
      <w:r>
        <w:rPr>
          <w:rFonts w:ascii="Times New Roman" w:hAnsi="Times New Roman" w:eastAsia="宋体" w:cs="Times New Roman"/>
          <w:szCs w:val="21"/>
        </w:rPr>
        <w:t>°C). Based on SCM, one-dimensional (1D) radial heat transfer model with uniform radial porosity distribution is applied in the analysis of the HTTU experiments. The results of ETC and radial temperature distribution are in good agreement with the experimental data. When the radial porosity distribution is considered, the ETC of the particle radiation decreases significantly at near-wall region. It is shown that radiation exchange factor increases with the surface emissivity. The results of the SCM under different surface emissivity are in good agreement with the existing correlations. Compared with the discrete simulation results of polydisperse beds, it is found that the SCM with the effective particle diameter can be used to analyze the behavior of the radiation in polydisperse beds. Moreover, coupled with particle-scale radiation model, a complete CFD-DEM method is discussed for packed pebble beds, considering particle motion, fluid flow, particle-fluid interactions and heat convection, conduction and particle radiation. It is shown that, compared to the case without particle radiation, heat transfer is enhanced greatly by particle radiation at high temperatures. A particle radiation factor (PRF) is proposed as an independent non-dimensional parameter to qualify the effect of particle-scale radiation in packed pebble beds. The PRF increases significantly with temperature and decreases gradually as the heat storage capacity or the thermal conductivity of the fluid increases. A demonstrative utilization of the present model is performed for a benchmark problem based on the HTR-10 nuclear reactor, and the results in general are in agreement with the results predicted by other empirical codes. When the nuclear reactor is above full power, the power required by the fan will increase significantly. In the decay heat removal process, particle radiation is essential to keep the bed temperature below the allowable limit, which is significant for nuclear reactor safety. Moreover, in the CFD-DEM simulations of fluid-particle systems on sub-particle scale mesh, a smoothed void fraction method (SVFM) is developed to compute the void fraction field based on the particle position and volume. A diffusion function is obtained analytically as a spatial distribution function of particle volume in SVFM, which converges to the step-function-type distribution of particle volume in the sub-particle-scale divided finite volume method (DFVM) when the smoothing degree goes to 0. In validation by a spout fluidized bed when the cell size is less than the particle diameter, it is shown that SVFM is preferable to DFVM for the CFD-DEM simulation since it is in better agreement with the experimental measurements. Moreover, the CFD-DEM simulation using the SVFM on sub-particle scale meshes is performed for the benchmark problem of the HTR-10 reactor. The numerical results at the smoothing degree of η = 0.5 are in good agreement with the empirical code of THERMIX – which is based on experimental measurements. In addition, the discussion indicates that the smoothing degree in SVFM is recommended to be 0.5~0.7 according to the void fraction distribution of Voronoi-tessellation.</w:t>
      </w:r>
    </w:p>
    <w:p>
      <w:pPr>
        <w:jc w:val="center"/>
        <w:rPr>
          <w:rFonts w:ascii="Times New Roman" w:hAnsi="Times New Roman" w:eastAsia="宋体" w:cs="Times New Roman"/>
          <w:szCs w:val="21"/>
        </w:rPr>
      </w:pPr>
      <w:r>
        <w:rPr>
          <w:rFonts w:ascii="Times New Roman" w:hAnsi="Times New Roman" w:eastAsia="宋体" w:cs="Times New Roman"/>
          <w:sz w:val="22"/>
        </w:rPr>
        <w:drawing>
          <wp:inline distT="0" distB="0" distL="0" distR="0">
            <wp:extent cx="4319905" cy="2072005"/>
            <wp:effectExtent l="0" t="0" r="10795" b="10795"/>
            <wp:docPr id="107" name="图片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7"/>
                    <pic:cNvPicPr>
                      <a:picLocks noChangeAspect="1"/>
                    </pic:cNvPicPr>
                  </pic:nvPicPr>
                  <pic:blipFill>
                    <a:blip r:embed="rId11"/>
                    <a:srcRect l="4150" t="5285"/>
                    <a:stretch>
                      <a:fillRect/>
                    </a:stretch>
                  </pic:blipFill>
                  <pic:spPr>
                    <a:xfrm>
                      <a:off x="0" y="0"/>
                      <a:ext cx="4320000" cy="2072015"/>
                    </a:xfrm>
                    <a:prstGeom prst="rect">
                      <a:avLst/>
                    </a:prstGeom>
                    <a:ln>
                      <a:noFill/>
                    </a:ln>
                  </pic:spPr>
                </pic:pic>
              </a:graphicData>
            </a:graphic>
          </wp:inline>
        </w:drawing>
      </w:r>
    </w:p>
    <w:p>
      <w:pPr>
        <w:jc w:val="center"/>
        <w:rPr>
          <w:rFonts w:ascii="Times New Roman" w:hAnsi="Times New Roman" w:eastAsia="宋体" w:cs="Times New Roman"/>
          <w:szCs w:val="21"/>
        </w:rPr>
      </w:pPr>
      <w:r>
        <w:rPr>
          <w:rFonts w:ascii="Times New Roman" w:hAnsi="Times New Roman" w:eastAsia="宋体" w:cs="Times New Roman"/>
          <w:szCs w:val="21"/>
        </w:rPr>
        <w:t>Fig. 1 Voronoi tessellation of the pebble bed (a) and numerical results of particle radiation models (b)</w:t>
      </w:r>
    </w:p>
    <w:p>
      <w:pPr>
        <w:jc w:val="center"/>
        <w:rPr>
          <w:rFonts w:ascii="Times New Roman" w:hAnsi="Times New Roman" w:eastAsia="宋体" w:cs="Times New Roman"/>
          <w:szCs w:val="21"/>
        </w:rPr>
      </w:pPr>
    </w:p>
    <w:p>
      <w:pPr>
        <w:jc w:val="left"/>
        <w:rPr>
          <w:rFonts w:ascii="Times New Roman" w:hAnsi="Times New Roman" w:eastAsia="宋体" w:cs="Times New Roman"/>
          <w:sz w:val="24"/>
        </w:rPr>
      </w:pPr>
      <w:r>
        <w:rPr>
          <w:rFonts w:ascii="Times New Roman" w:hAnsi="Times New Roman" w:eastAsia="宋体" w:cs="Times New Roman"/>
          <w:b/>
          <w:szCs w:val="21"/>
        </w:rPr>
        <w:t>Email</w:t>
      </w:r>
      <w:r>
        <w:rPr>
          <w:rFonts w:hint="eastAsia" w:ascii="Times New Roman" w:hAnsi="Times New Roman" w:eastAsia="宋体" w:cs="Times New Roman"/>
          <w:b/>
          <w:szCs w:val="21"/>
        </w:rPr>
        <w:t>：</w:t>
      </w:r>
      <w:r>
        <w:rPr>
          <w:rStyle w:val="8"/>
          <w:rFonts w:ascii="Times New Roman" w:hAnsi="Times New Roman" w:eastAsia="宋体" w:cs="Times New Roman"/>
          <w:szCs w:val="21"/>
          <w:u w:val="none"/>
        </w:rPr>
        <w:t>XXXXXX</w:t>
      </w:r>
      <w:r>
        <w:rPr>
          <w:rStyle w:val="8"/>
          <w:rFonts w:hint="eastAsia" w:ascii="Times New Roman" w:hAnsi="Times New Roman" w:eastAsia="宋体" w:cs="Times New Roman"/>
          <w:szCs w:val="21"/>
          <w:u w:val="none"/>
        </w:rPr>
        <w:t>@</w:t>
      </w:r>
      <w:r>
        <w:rPr>
          <w:rStyle w:val="8"/>
          <w:rFonts w:ascii="Times New Roman" w:hAnsi="Times New Roman" w:eastAsia="宋体" w:cs="Times New Roman"/>
          <w:szCs w:val="21"/>
          <w:u w:val="none"/>
        </w:rPr>
        <w:t>mails.tsinghua.edu.cn</w:t>
      </w:r>
      <w:r>
        <w:rPr>
          <w:rFonts w:ascii="Times New Roman" w:hAnsi="Times New Roman" w:eastAsia="宋体" w:cs="Times New Roman"/>
          <w:szCs w:val="21"/>
        </w:rPr>
        <w:t xml:space="preserve"> </w:t>
      </w:r>
    </w:p>
    <w:p>
      <w:pPr>
        <w:rPr>
          <w:rFonts w:ascii="Times New Roman" w:hAnsi="Times New Roman" w:eastAsia="宋体" w:cs="Times New Roman"/>
          <w:szCs w:val="21"/>
        </w:rPr>
      </w:pPr>
      <w:r>
        <w:rPr>
          <w:rFonts w:ascii="Times New Roman" w:hAnsi="Times New Roman" w:eastAsia="宋体" w:cs="Times New Roman"/>
          <w:b/>
          <w:szCs w:val="21"/>
        </w:rPr>
        <w:t>Keywords:</w:t>
      </w:r>
      <w:r>
        <w:rPr>
          <w:rFonts w:ascii="Times New Roman" w:hAnsi="Times New Roman" w:eastAsia="宋体" w:cs="Times New Roman"/>
          <w:szCs w:val="21"/>
        </w:rPr>
        <w:t xml:space="preserve"> Pebble bed; Thermal radiation; Effective thermal conductivity; Voronoi tessellation; CFD-DEM</w:t>
      </w:r>
    </w:p>
    <w:p>
      <w:pPr>
        <w:rPr>
          <w:rFonts w:ascii="Times New Roman" w:hAnsi="Times New Roman" w:eastAsia="宋体" w:cs="Times New Roman"/>
          <w:b/>
          <w:szCs w:val="21"/>
        </w:rPr>
      </w:pPr>
      <w:r>
        <w:rPr>
          <w:rFonts w:hint="eastAsia" w:ascii="Times New Roman" w:hAnsi="Times New Roman" w:eastAsia="宋体" w:cs="Times New Roman"/>
          <w:b/>
          <w:szCs w:val="21"/>
        </w:rPr>
        <w:t>R</w:t>
      </w:r>
      <w:r>
        <w:rPr>
          <w:rFonts w:ascii="Times New Roman" w:hAnsi="Times New Roman" w:eastAsia="宋体" w:cs="Times New Roman"/>
          <w:b/>
          <w:szCs w:val="21"/>
        </w:rPr>
        <w:t>eference:</w:t>
      </w:r>
    </w:p>
    <w:p>
      <w:r>
        <w:rPr>
          <w:rFonts w:ascii="Times New Roman" w:hAnsi="Times New Roman" w:eastAsia="宋体" w:cs="Times New Roman"/>
          <w:szCs w:val="21"/>
        </w:rPr>
        <w:t>[1] Zakrzewska-Trznadel G, Harasimowicz M, Chmielewski A G. Membrane processes in nuclear technology-application for liquid radioactive waste treatment. Separation and Purification Technology, 2001, 22-23 (0): 617-625.</w:t>
      </w:r>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10" w:usb3="00000000" w:csb0="0004009F" w:csb1="00000000"/>
  </w:font>
  <w:font w:name="华文仿宋">
    <w:altName w:val="仿宋"/>
    <w:panose1 w:val="02010600040101010101"/>
    <w:charset w:val="86"/>
    <w:family w:val="auto"/>
    <w:pitch w:val="default"/>
    <w:sig w:usb0="00000000" w:usb1="00000000" w:usb2="00000010" w:usb3="00000000" w:csb0="0004009F" w:csb1="00000000"/>
  </w:font>
  <w:font w:name="等线">
    <w:panose1 w:val="02010600030101010101"/>
    <w:charset w:val="86"/>
    <w:family w:val="auto"/>
    <w:pitch w:val="default"/>
    <w:sig w:usb0="A00002BF" w:usb1="38CF7CFA" w:usb2="00000016" w:usb3="00000000" w:csb0="0004000F" w:csb1="00000000"/>
  </w:font>
  <w:font w:name="MS Gothic">
    <w:panose1 w:val="020B0609070205080204"/>
    <w:charset w:val="80"/>
    <w:family w:val="modern"/>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separate"/>
    </w:r>
    <w:r>
      <w:rPr>
        <w:rStyle w:val="7"/>
      </w:rPr>
      <w:t>6</w:t>
    </w:r>
    <w:r>
      <w:rPr>
        <w:rStyle w:val="7"/>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68F0C8"/>
    <w:multiLevelType w:val="multilevel"/>
    <w:tmpl w:val="9668F0C8"/>
    <w:lvl w:ilvl="0" w:tentative="0">
      <w:start w:val="1"/>
      <w:numFmt w:val="decimal"/>
      <w:lvlText w:val="（%1）"/>
      <w:lvlJc w:val="left"/>
      <w:pPr>
        <w:ind w:left="119" w:hanging="707"/>
      </w:pPr>
      <w:rPr>
        <w:rFonts w:hint="default" w:ascii="仿宋" w:hAnsi="仿宋" w:eastAsia="仿宋" w:cs="仿宋"/>
        <w:spacing w:val="0"/>
        <w:w w:val="100"/>
        <w:sz w:val="26"/>
        <w:szCs w:val="26"/>
        <w:lang w:val="zh-CN" w:eastAsia="zh-CN" w:bidi="zh-CN"/>
      </w:rPr>
    </w:lvl>
    <w:lvl w:ilvl="1" w:tentative="0">
      <w:start w:val="1"/>
      <w:numFmt w:val="decimal"/>
      <w:pStyle w:val="9"/>
      <w:lvlText w:val="（%2）"/>
      <w:lvlJc w:val="left"/>
      <w:pPr>
        <w:ind w:left="2265" w:hanging="705"/>
      </w:pPr>
      <w:rPr>
        <w:rFonts w:hint="default" w:ascii="仿宋" w:hAnsi="仿宋" w:eastAsia="仿宋" w:cs="仿宋"/>
        <w:spacing w:val="-3"/>
        <w:w w:val="100"/>
        <w:sz w:val="26"/>
        <w:szCs w:val="26"/>
        <w:lang w:val="zh-CN" w:eastAsia="zh-CN" w:bidi="zh-CN"/>
      </w:rPr>
    </w:lvl>
    <w:lvl w:ilvl="2" w:tentative="0">
      <w:start w:val="0"/>
      <w:numFmt w:val="bullet"/>
      <w:lvlText w:val="•"/>
      <w:lvlJc w:val="left"/>
      <w:pPr>
        <w:ind w:left="2318" w:hanging="705"/>
      </w:pPr>
      <w:rPr>
        <w:rFonts w:hint="default"/>
        <w:lang w:val="zh-CN" w:eastAsia="zh-CN" w:bidi="zh-CN"/>
      </w:rPr>
    </w:lvl>
    <w:lvl w:ilvl="3" w:tentative="0">
      <w:start w:val="0"/>
      <w:numFmt w:val="bullet"/>
      <w:lvlText w:val="•"/>
      <w:lvlJc w:val="left"/>
      <w:pPr>
        <w:ind w:left="3096" w:hanging="705"/>
      </w:pPr>
      <w:rPr>
        <w:rFonts w:hint="default"/>
        <w:lang w:val="zh-CN" w:eastAsia="zh-CN" w:bidi="zh-CN"/>
      </w:rPr>
    </w:lvl>
    <w:lvl w:ilvl="4" w:tentative="0">
      <w:start w:val="0"/>
      <w:numFmt w:val="bullet"/>
      <w:lvlText w:val="•"/>
      <w:lvlJc w:val="left"/>
      <w:pPr>
        <w:ind w:left="3875" w:hanging="705"/>
      </w:pPr>
      <w:rPr>
        <w:rFonts w:hint="default"/>
        <w:lang w:val="zh-CN" w:eastAsia="zh-CN" w:bidi="zh-CN"/>
      </w:rPr>
    </w:lvl>
    <w:lvl w:ilvl="5" w:tentative="0">
      <w:start w:val="0"/>
      <w:numFmt w:val="bullet"/>
      <w:lvlText w:val="•"/>
      <w:lvlJc w:val="left"/>
      <w:pPr>
        <w:ind w:left="4653" w:hanging="705"/>
      </w:pPr>
      <w:rPr>
        <w:rFonts w:hint="default"/>
        <w:lang w:val="zh-CN" w:eastAsia="zh-CN" w:bidi="zh-CN"/>
      </w:rPr>
    </w:lvl>
    <w:lvl w:ilvl="6" w:tentative="0">
      <w:start w:val="0"/>
      <w:numFmt w:val="bullet"/>
      <w:lvlText w:val="•"/>
      <w:lvlJc w:val="left"/>
      <w:pPr>
        <w:ind w:left="5431" w:hanging="705"/>
      </w:pPr>
      <w:rPr>
        <w:rFonts w:hint="default"/>
        <w:lang w:val="zh-CN" w:eastAsia="zh-CN" w:bidi="zh-CN"/>
      </w:rPr>
    </w:lvl>
    <w:lvl w:ilvl="7" w:tentative="0">
      <w:start w:val="0"/>
      <w:numFmt w:val="bullet"/>
      <w:lvlText w:val="•"/>
      <w:lvlJc w:val="left"/>
      <w:pPr>
        <w:ind w:left="6210" w:hanging="705"/>
      </w:pPr>
      <w:rPr>
        <w:rFonts w:hint="default"/>
        <w:lang w:val="zh-CN" w:eastAsia="zh-CN" w:bidi="zh-CN"/>
      </w:rPr>
    </w:lvl>
    <w:lvl w:ilvl="8" w:tentative="0">
      <w:start w:val="0"/>
      <w:numFmt w:val="bullet"/>
      <w:lvlText w:val="•"/>
      <w:lvlJc w:val="left"/>
      <w:pPr>
        <w:ind w:left="6988" w:hanging="705"/>
      </w:pPr>
      <w:rPr>
        <w:rFonts w:hint="default"/>
        <w:lang w:val="zh-CN" w:eastAsia="zh-CN" w:bidi="zh-CN"/>
      </w:rPr>
    </w:lvl>
  </w:abstractNum>
  <w:abstractNum w:abstractNumId="1">
    <w:nsid w:val="06CAD57F"/>
    <w:multiLevelType w:val="multilevel"/>
    <w:tmpl w:val="06CAD57F"/>
    <w:lvl w:ilvl="0" w:tentative="0">
      <w:start w:val="1"/>
      <w:numFmt w:val="decimal"/>
      <w:lvlText w:val="（%1）"/>
      <w:lvlJc w:val="left"/>
      <w:pPr>
        <w:ind w:left="119" w:hanging="707"/>
      </w:pPr>
      <w:rPr>
        <w:rFonts w:hint="default" w:ascii="仿宋" w:hAnsi="仿宋" w:eastAsia="仿宋" w:cs="仿宋"/>
        <w:spacing w:val="0"/>
        <w:w w:val="100"/>
        <w:sz w:val="26"/>
        <w:szCs w:val="26"/>
        <w:lang w:val="zh-CN" w:eastAsia="zh-CN" w:bidi="zh-CN"/>
      </w:rPr>
    </w:lvl>
    <w:lvl w:ilvl="1" w:tentative="0">
      <w:start w:val="1"/>
      <w:numFmt w:val="decimal"/>
      <w:pStyle w:val="11"/>
      <w:lvlText w:val="（%2）"/>
      <w:lvlJc w:val="left"/>
      <w:pPr>
        <w:ind w:left="2265" w:hanging="705"/>
      </w:pPr>
      <w:rPr>
        <w:rFonts w:hint="default" w:ascii="仿宋" w:hAnsi="仿宋" w:eastAsia="仿宋" w:cs="仿宋"/>
        <w:spacing w:val="-3"/>
        <w:w w:val="100"/>
        <w:sz w:val="26"/>
        <w:szCs w:val="26"/>
        <w:lang w:val="zh-CN" w:eastAsia="zh-CN" w:bidi="zh-CN"/>
      </w:rPr>
    </w:lvl>
    <w:lvl w:ilvl="2" w:tentative="0">
      <w:start w:val="0"/>
      <w:numFmt w:val="bullet"/>
      <w:lvlText w:val="•"/>
      <w:lvlJc w:val="left"/>
      <w:pPr>
        <w:ind w:left="2318" w:hanging="705"/>
      </w:pPr>
      <w:rPr>
        <w:rFonts w:hint="default"/>
        <w:lang w:val="zh-CN" w:eastAsia="zh-CN" w:bidi="zh-CN"/>
      </w:rPr>
    </w:lvl>
    <w:lvl w:ilvl="3" w:tentative="0">
      <w:start w:val="0"/>
      <w:numFmt w:val="bullet"/>
      <w:lvlText w:val="•"/>
      <w:lvlJc w:val="left"/>
      <w:pPr>
        <w:ind w:left="3096" w:hanging="705"/>
      </w:pPr>
      <w:rPr>
        <w:rFonts w:hint="default"/>
        <w:lang w:val="zh-CN" w:eastAsia="zh-CN" w:bidi="zh-CN"/>
      </w:rPr>
    </w:lvl>
    <w:lvl w:ilvl="4" w:tentative="0">
      <w:start w:val="0"/>
      <w:numFmt w:val="bullet"/>
      <w:lvlText w:val="•"/>
      <w:lvlJc w:val="left"/>
      <w:pPr>
        <w:ind w:left="3875" w:hanging="705"/>
      </w:pPr>
      <w:rPr>
        <w:rFonts w:hint="default"/>
        <w:lang w:val="zh-CN" w:eastAsia="zh-CN" w:bidi="zh-CN"/>
      </w:rPr>
    </w:lvl>
    <w:lvl w:ilvl="5" w:tentative="0">
      <w:start w:val="0"/>
      <w:numFmt w:val="bullet"/>
      <w:lvlText w:val="•"/>
      <w:lvlJc w:val="left"/>
      <w:pPr>
        <w:ind w:left="4653" w:hanging="705"/>
      </w:pPr>
      <w:rPr>
        <w:rFonts w:hint="default"/>
        <w:lang w:val="zh-CN" w:eastAsia="zh-CN" w:bidi="zh-CN"/>
      </w:rPr>
    </w:lvl>
    <w:lvl w:ilvl="6" w:tentative="0">
      <w:start w:val="0"/>
      <w:numFmt w:val="bullet"/>
      <w:lvlText w:val="•"/>
      <w:lvlJc w:val="left"/>
      <w:pPr>
        <w:ind w:left="5431" w:hanging="705"/>
      </w:pPr>
      <w:rPr>
        <w:rFonts w:hint="default"/>
        <w:lang w:val="zh-CN" w:eastAsia="zh-CN" w:bidi="zh-CN"/>
      </w:rPr>
    </w:lvl>
    <w:lvl w:ilvl="7" w:tentative="0">
      <w:start w:val="0"/>
      <w:numFmt w:val="bullet"/>
      <w:lvlText w:val="•"/>
      <w:lvlJc w:val="left"/>
      <w:pPr>
        <w:ind w:left="6210" w:hanging="705"/>
      </w:pPr>
      <w:rPr>
        <w:rFonts w:hint="default"/>
        <w:lang w:val="zh-CN" w:eastAsia="zh-CN" w:bidi="zh-CN"/>
      </w:rPr>
    </w:lvl>
    <w:lvl w:ilvl="8" w:tentative="0">
      <w:start w:val="0"/>
      <w:numFmt w:val="bullet"/>
      <w:lvlText w:val="•"/>
      <w:lvlJc w:val="left"/>
      <w:pPr>
        <w:ind w:left="6988" w:hanging="705"/>
      </w:pPr>
      <w:rPr>
        <w:rFonts w:hint="default"/>
        <w:lang w:val="zh-CN" w:eastAsia="zh-CN" w:bidi="zh-CN"/>
      </w:rPr>
    </w:lvl>
  </w:abstractNum>
  <w:abstractNum w:abstractNumId="2">
    <w:nsid w:val="0D02D22A"/>
    <w:multiLevelType w:val="multilevel"/>
    <w:tmpl w:val="0D02D22A"/>
    <w:lvl w:ilvl="0" w:tentative="0">
      <w:start w:val="1"/>
      <w:numFmt w:val="decimal"/>
      <w:lvlText w:val="（%1）"/>
      <w:lvlJc w:val="left"/>
      <w:pPr>
        <w:ind w:left="119" w:hanging="707"/>
      </w:pPr>
      <w:rPr>
        <w:rFonts w:hint="default" w:ascii="仿宋" w:hAnsi="仿宋" w:eastAsia="仿宋" w:cs="仿宋"/>
        <w:spacing w:val="0"/>
        <w:w w:val="100"/>
        <w:sz w:val="26"/>
        <w:szCs w:val="26"/>
        <w:lang w:val="zh-CN" w:eastAsia="zh-CN" w:bidi="zh-CN"/>
      </w:rPr>
    </w:lvl>
    <w:lvl w:ilvl="1" w:tentative="0">
      <w:start w:val="1"/>
      <w:numFmt w:val="decimal"/>
      <w:pStyle w:val="10"/>
      <w:lvlText w:val="（%2）"/>
      <w:lvlJc w:val="left"/>
      <w:pPr>
        <w:ind w:left="2265" w:hanging="705"/>
      </w:pPr>
      <w:rPr>
        <w:rFonts w:hint="default" w:ascii="仿宋" w:hAnsi="仿宋" w:eastAsia="仿宋" w:cs="仿宋"/>
        <w:spacing w:val="-3"/>
        <w:w w:val="100"/>
        <w:sz w:val="26"/>
        <w:szCs w:val="26"/>
        <w:lang w:val="zh-CN" w:eastAsia="zh-CN" w:bidi="zh-CN"/>
      </w:rPr>
    </w:lvl>
    <w:lvl w:ilvl="2" w:tentative="0">
      <w:start w:val="0"/>
      <w:numFmt w:val="bullet"/>
      <w:lvlText w:val="•"/>
      <w:lvlJc w:val="left"/>
      <w:pPr>
        <w:ind w:left="2318" w:hanging="705"/>
      </w:pPr>
      <w:rPr>
        <w:rFonts w:hint="default"/>
        <w:lang w:val="zh-CN" w:eastAsia="zh-CN" w:bidi="zh-CN"/>
      </w:rPr>
    </w:lvl>
    <w:lvl w:ilvl="3" w:tentative="0">
      <w:start w:val="0"/>
      <w:numFmt w:val="bullet"/>
      <w:lvlText w:val="•"/>
      <w:lvlJc w:val="left"/>
      <w:pPr>
        <w:ind w:left="3096" w:hanging="705"/>
      </w:pPr>
      <w:rPr>
        <w:rFonts w:hint="default"/>
        <w:lang w:val="zh-CN" w:eastAsia="zh-CN" w:bidi="zh-CN"/>
      </w:rPr>
    </w:lvl>
    <w:lvl w:ilvl="4" w:tentative="0">
      <w:start w:val="0"/>
      <w:numFmt w:val="bullet"/>
      <w:lvlText w:val="•"/>
      <w:lvlJc w:val="left"/>
      <w:pPr>
        <w:ind w:left="3875" w:hanging="705"/>
      </w:pPr>
      <w:rPr>
        <w:rFonts w:hint="default"/>
        <w:lang w:val="zh-CN" w:eastAsia="zh-CN" w:bidi="zh-CN"/>
      </w:rPr>
    </w:lvl>
    <w:lvl w:ilvl="5" w:tentative="0">
      <w:start w:val="0"/>
      <w:numFmt w:val="bullet"/>
      <w:lvlText w:val="•"/>
      <w:lvlJc w:val="left"/>
      <w:pPr>
        <w:ind w:left="4653" w:hanging="705"/>
      </w:pPr>
      <w:rPr>
        <w:rFonts w:hint="default"/>
        <w:lang w:val="zh-CN" w:eastAsia="zh-CN" w:bidi="zh-CN"/>
      </w:rPr>
    </w:lvl>
    <w:lvl w:ilvl="6" w:tentative="0">
      <w:start w:val="0"/>
      <w:numFmt w:val="bullet"/>
      <w:lvlText w:val="•"/>
      <w:lvlJc w:val="left"/>
      <w:pPr>
        <w:ind w:left="5431" w:hanging="705"/>
      </w:pPr>
      <w:rPr>
        <w:rFonts w:hint="default"/>
        <w:lang w:val="zh-CN" w:eastAsia="zh-CN" w:bidi="zh-CN"/>
      </w:rPr>
    </w:lvl>
    <w:lvl w:ilvl="7" w:tentative="0">
      <w:start w:val="0"/>
      <w:numFmt w:val="bullet"/>
      <w:lvlText w:val="•"/>
      <w:lvlJc w:val="left"/>
      <w:pPr>
        <w:ind w:left="6210" w:hanging="705"/>
      </w:pPr>
      <w:rPr>
        <w:rFonts w:hint="default"/>
        <w:lang w:val="zh-CN" w:eastAsia="zh-CN" w:bidi="zh-CN"/>
      </w:rPr>
    </w:lvl>
    <w:lvl w:ilvl="8" w:tentative="0">
      <w:start w:val="0"/>
      <w:numFmt w:val="bullet"/>
      <w:lvlText w:val="•"/>
      <w:lvlJc w:val="left"/>
      <w:pPr>
        <w:ind w:left="6988" w:hanging="705"/>
      </w:pPr>
      <w:rPr>
        <w:rFonts w:hint="default"/>
        <w:lang w:val="zh-CN" w:eastAsia="zh-CN" w:bidi="zh-CN"/>
      </w:rPr>
    </w:lvl>
  </w:abstractNum>
  <w:abstractNum w:abstractNumId="3">
    <w:nsid w:val="13D5738F"/>
    <w:multiLevelType w:val="multilevel"/>
    <w:tmpl w:val="13D5738F"/>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U1M2IzNWUzNjRhNjE0ODRiMzNmODU2ZTgyZTkwYzQifQ=="/>
  </w:docVars>
  <w:rsids>
    <w:rsidRoot w:val="003D136F"/>
    <w:rsid w:val="0007038E"/>
    <w:rsid w:val="00225BF4"/>
    <w:rsid w:val="00261D0A"/>
    <w:rsid w:val="00330B83"/>
    <w:rsid w:val="003D136F"/>
    <w:rsid w:val="008312C8"/>
    <w:rsid w:val="009E4E67"/>
    <w:rsid w:val="00B05659"/>
    <w:rsid w:val="00C566C7"/>
    <w:rsid w:val="00E16B79"/>
    <w:rsid w:val="19E7619F"/>
    <w:rsid w:val="23617408"/>
    <w:rsid w:val="305F5331"/>
    <w:rsid w:val="37182367"/>
    <w:rsid w:val="3FE72306"/>
    <w:rsid w:val="570E19B8"/>
    <w:rsid w:val="62D2080A"/>
    <w:rsid w:val="64D15DC1"/>
    <w:rsid w:val="6F352434"/>
    <w:rsid w:val="73C330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6">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3">
    <w:name w:val="footer"/>
    <w:basedOn w:val="1"/>
    <w:unhideWhenUsed/>
    <w:qFormat/>
    <w:uiPriority w:val="0"/>
    <w:pPr>
      <w:tabs>
        <w:tab w:val="center" w:pos="4153"/>
        <w:tab w:val="right" w:pos="8306"/>
      </w:tabs>
      <w:snapToGrid w:val="0"/>
      <w:jc w:val="left"/>
    </w:pPr>
    <w:rPr>
      <w:sz w:val="18"/>
      <w:szCs w:val="18"/>
    </w:rPr>
  </w:style>
  <w:style w:type="paragraph" w:styleId="4">
    <w:name w:val="header"/>
    <w:basedOn w:val="1"/>
    <w:link w:val="13"/>
    <w:uiPriority w:val="0"/>
    <w:pPr>
      <w:tabs>
        <w:tab w:val="center" w:pos="4153"/>
        <w:tab w:val="right" w:pos="8306"/>
      </w:tabs>
      <w:snapToGrid w:val="0"/>
      <w:jc w:val="center"/>
    </w:pPr>
    <w:rPr>
      <w:sz w:val="18"/>
      <w:szCs w:val="18"/>
    </w:rPr>
  </w:style>
  <w:style w:type="character" w:styleId="7">
    <w:name w:val="page number"/>
    <w:basedOn w:val="6"/>
    <w:qFormat/>
    <w:uiPriority w:val="0"/>
  </w:style>
  <w:style w:type="character" w:styleId="8">
    <w:name w:val="Hyperlink"/>
    <w:basedOn w:val="6"/>
    <w:unhideWhenUsed/>
    <w:qFormat/>
    <w:uiPriority w:val="99"/>
    <w:rPr>
      <w:color w:val="0563C1" w:themeColor="hyperlink"/>
      <w:u w:val="single"/>
      <w14:textFill>
        <w14:solidFill>
          <w14:schemeClr w14:val="hlink"/>
        </w14:solidFill>
      </w14:textFill>
    </w:rPr>
  </w:style>
  <w:style w:type="paragraph" w:customStyle="1" w:styleId="9">
    <w:name w:val="副标"/>
    <w:basedOn w:val="1"/>
    <w:uiPriority w:val="0"/>
    <w:pPr>
      <w:numPr>
        <w:ilvl w:val="1"/>
        <w:numId w:val="1"/>
      </w:numPr>
      <w:tabs>
        <w:tab w:val="left" w:pos="1545"/>
      </w:tabs>
      <w:spacing w:after="100" w:afterLines="100" w:line="360" w:lineRule="auto"/>
      <w:ind w:left="703" w:hanging="703"/>
      <w:jc w:val="center"/>
    </w:pPr>
    <w:rPr>
      <w:rFonts w:hint="eastAsia" w:ascii="楷体" w:hAnsi="楷体" w:eastAsia="楷体" w:cs="楷体"/>
      <w:b/>
      <w:bCs/>
      <w:sz w:val="32"/>
      <w:szCs w:val="32"/>
      <w:lang w:val="zh-CN" w:bidi="zh-CN"/>
    </w:rPr>
  </w:style>
  <w:style w:type="paragraph" w:customStyle="1" w:styleId="10">
    <w:name w:val="一级标题"/>
    <w:basedOn w:val="1"/>
    <w:uiPriority w:val="0"/>
    <w:pPr>
      <w:numPr>
        <w:ilvl w:val="1"/>
        <w:numId w:val="2"/>
      </w:numPr>
      <w:tabs>
        <w:tab w:val="left" w:pos="1545"/>
      </w:tabs>
      <w:spacing w:before="50" w:beforeLines="50" w:after="50" w:afterLines="50" w:line="360" w:lineRule="auto"/>
      <w:ind w:left="0" w:firstLine="0"/>
      <w:jc w:val="center"/>
    </w:pPr>
    <w:rPr>
      <w:rFonts w:hint="eastAsia" w:ascii="黑体" w:hAnsi="黑体" w:eastAsia="黑体" w:cs="黑体"/>
      <w:sz w:val="30"/>
      <w:szCs w:val="30"/>
      <w:lang w:val="zh-CN" w:bidi="zh-CN"/>
    </w:rPr>
  </w:style>
  <w:style w:type="paragraph" w:customStyle="1" w:styleId="11">
    <w:name w:val="二级标题"/>
    <w:basedOn w:val="1"/>
    <w:qFormat/>
    <w:uiPriority w:val="0"/>
    <w:pPr>
      <w:numPr>
        <w:ilvl w:val="1"/>
        <w:numId w:val="3"/>
      </w:numPr>
      <w:tabs>
        <w:tab w:val="left" w:pos="1545"/>
      </w:tabs>
      <w:adjustRightInd w:val="0"/>
      <w:spacing w:line="360" w:lineRule="auto"/>
      <w:ind w:left="0" w:firstLine="562" w:firstLineChars="200"/>
      <w:jc w:val="left"/>
    </w:pPr>
    <w:rPr>
      <w:rFonts w:hint="eastAsia" w:ascii="Times New Roman" w:hAnsi="Times New Roman" w:eastAsia="宋体" w:cs="楷体"/>
      <w:bCs/>
      <w:sz w:val="28"/>
      <w:szCs w:val="28"/>
      <w:lang w:val="zh-CN" w:bidi="zh-CN"/>
    </w:rPr>
  </w:style>
  <w:style w:type="paragraph" w:styleId="12">
    <w:name w:val="List Paragraph"/>
    <w:basedOn w:val="1"/>
    <w:qFormat/>
    <w:uiPriority w:val="34"/>
    <w:pPr>
      <w:ind w:firstLine="420" w:firstLineChars="200"/>
    </w:pPr>
  </w:style>
  <w:style w:type="character" w:customStyle="1" w:styleId="13">
    <w:name w:val="页眉 字符"/>
    <w:basedOn w:val="6"/>
    <w:link w:val="4"/>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2814</Words>
  <Characters>7578</Characters>
  <Lines>61</Lines>
  <Paragraphs>17</Paragraphs>
  <TotalTime>1</TotalTime>
  <ScaleCrop>false</ScaleCrop>
  <LinksUpToDate>false</LinksUpToDate>
  <CharactersWithSpaces>8522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2022-09-16T10:19:00Z</dcterms:created>
  <dc:creator>123</dc:creator>
  <cp:lastModifiedBy>杨洲(2023311035)</cp:lastModifiedBy>
  <dcterms:modified xsi:type="dcterms:W3CDTF">2025-03-11T12:19:17Z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DCDF9990BE03473EA86F050C25527E74</vt:lpwstr>
  </property>
</Properties>
</file>